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7165F" w14:textId="5868EE44" w:rsidR="00A94B21" w:rsidRDefault="00A94B21" w:rsidP="00A94B21">
      <w:pPr>
        <w:pBdr>
          <w:between w:val="single" w:sz="8" w:space="1" w:color="C00000"/>
        </w:pBdr>
        <w:tabs>
          <w:tab w:val="right" w:pos="9000"/>
        </w:tabs>
        <w:rPr>
          <w:rFonts w:cs="Arial"/>
          <w:b/>
          <w:sz w:val="22"/>
          <w:szCs w:val="22"/>
        </w:rPr>
      </w:pPr>
      <w:bookmarkStart w:id="0" w:name="_GoBack"/>
      <w:bookmarkEnd w:id="0"/>
      <w:r w:rsidRPr="00E336CD">
        <w:rPr>
          <w:rFonts w:cs="Arial"/>
          <w:b/>
          <w:color w:val="C00000"/>
          <w:sz w:val="36"/>
          <w:szCs w:val="36"/>
        </w:rPr>
        <w:t xml:space="preserve">Planning and </w:t>
      </w:r>
      <w:r w:rsidRPr="00AA72C5">
        <w:rPr>
          <w:rFonts w:cs="Arial"/>
          <w:b/>
          <w:color w:val="C00000"/>
          <w:sz w:val="36"/>
          <w:szCs w:val="36"/>
        </w:rPr>
        <w:t>Assessment</w:t>
      </w:r>
      <w:r>
        <w:rPr>
          <w:rFonts w:cs="Arial"/>
          <w:b/>
          <w:sz w:val="22"/>
          <w:szCs w:val="22"/>
        </w:rPr>
        <w:tab/>
      </w:r>
      <w:r>
        <w:rPr>
          <w:sz w:val="22"/>
          <w:szCs w:val="22"/>
        </w:rPr>
        <w:t>IRF20/</w:t>
      </w:r>
      <w:r w:rsidR="00381D91">
        <w:rPr>
          <w:sz w:val="22"/>
          <w:szCs w:val="22"/>
        </w:rPr>
        <w:t>3760</w:t>
      </w:r>
    </w:p>
    <w:p w14:paraId="4B71F9E7" w14:textId="77777777" w:rsidR="00A94B21" w:rsidRPr="00E336CD" w:rsidRDefault="00A94B21" w:rsidP="00A94B21">
      <w:pPr>
        <w:pBdr>
          <w:between w:val="single" w:sz="8" w:space="1" w:color="C00000"/>
        </w:pBdr>
        <w:tabs>
          <w:tab w:val="right" w:pos="9000"/>
        </w:tabs>
        <w:ind w:left="181" w:hanging="181"/>
        <w:rPr>
          <w:rFonts w:cs="Arial"/>
          <w:color w:val="C00000"/>
          <w:sz w:val="32"/>
          <w:szCs w:val="32"/>
        </w:rPr>
      </w:pPr>
      <w:r w:rsidRPr="00E336CD">
        <w:rPr>
          <w:rFonts w:cs="Arial"/>
          <w:color w:val="C00000"/>
          <w:sz w:val="32"/>
          <w:szCs w:val="32"/>
        </w:rPr>
        <w:t>Gateway determination report</w:t>
      </w:r>
    </w:p>
    <w:p w14:paraId="6E8CE004" w14:textId="77777777" w:rsidR="00A94B21" w:rsidRDefault="00A94B21" w:rsidP="00A94B21">
      <w:pPr>
        <w:tabs>
          <w:tab w:val="right" w:pos="9000"/>
        </w:tabs>
        <w:ind w:left="181" w:hanging="181"/>
        <w:rPr>
          <w:rFonts w:cs="Arial"/>
          <w:b/>
          <w:sz w:val="22"/>
          <w:szCs w:val="22"/>
        </w:rPr>
      </w:pPr>
    </w:p>
    <w:p w14:paraId="2D7AF623" w14:textId="77777777" w:rsidR="00A94B21" w:rsidRDefault="00A94B21" w:rsidP="00A94B21">
      <w:pPr>
        <w:tabs>
          <w:tab w:val="right" w:pos="9000"/>
        </w:tabs>
        <w:ind w:left="181" w:hanging="181"/>
        <w:rPr>
          <w:rFonts w:cs="Arial"/>
          <w:b/>
          <w:sz w:val="22"/>
          <w:szCs w:val="22"/>
        </w:rPr>
      </w:pPr>
    </w:p>
    <w:tbl>
      <w:tblPr>
        <w:tblW w:w="9225"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41"/>
        <w:gridCol w:w="6284"/>
      </w:tblGrid>
      <w:tr w:rsidR="00A94B21" w14:paraId="5714A25A" w14:textId="77777777" w:rsidTr="00A94B21">
        <w:trPr>
          <w:trHeight w:val="273"/>
        </w:trPr>
        <w:tc>
          <w:tcPr>
            <w:tcW w:w="2940" w:type="dxa"/>
            <w:tcBorders>
              <w:top w:val="single" w:sz="4" w:space="0" w:color="auto"/>
              <w:left w:val="nil"/>
              <w:bottom w:val="single" w:sz="4" w:space="0" w:color="auto"/>
              <w:right w:val="nil"/>
            </w:tcBorders>
            <w:hideMark/>
          </w:tcPr>
          <w:p w14:paraId="614159C8" w14:textId="77777777" w:rsidR="00A94B21" w:rsidRDefault="00A94B21">
            <w:pPr>
              <w:rPr>
                <w:b/>
                <w:sz w:val="22"/>
                <w:szCs w:val="22"/>
              </w:rPr>
            </w:pPr>
            <w:r>
              <w:rPr>
                <w:b/>
                <w:sz w:val="22"/>
                <w:szCs w:val="22"/>
              </w:rPr>
              <w:t>LGA</w:t>
            </w:r>
          </w:p>
        </w:tc>
        <w:tc>
          <w:tcPr>
            <w:tcW w:w="6283" w:type="dxa"/>
            <w:tcBorders>
              <w:top w:val="single" w:sz="4" w:space="0" w:color="auto"/>
              <w:left w:val="nil"/>
              <w:bottom w:val="single" w:sz="4" w:space="0" w:color="auto"/>
              <w:right w:val="nil"/>
            </w:tcBorders>
            <w:hideMark/>
          </w:tcPr>
          <w:p w14:paraId="231E28EC" w14:textId="77777777" w:rsidR="00A94B21" w:rsidRDefault="00A94B21">
            <w:pPr>
              <w:rPr>
                <w:sz w:val="22"/>
                <w:szCs w:val="22"/>
              </w:rPr>
            </w:pPr>
            <w:r>
              <w:rPr>
                <w:sz w:val="22"/>
                <w:szCs w:val="22"/>
              </w:rPr>
              <w:t>Wagga Wagga</w:t>
            </w:r>
          </w:p>
        </w:tc>
      </w:tr>
      <w:tr w:rsidR="00A94B21" w14:paraId="0326A265" w14:textId="77777777" w:rsidTr="00A94B21">
        <w:trPr>
          <w:trHeight w:val="273"/>
        </w:trPr>
        <w:tc>
          <w:tcPr>
            <w:tcW w:w="2940" w:type="dxa"/>
            <w:tcBorders>
              <w:top w:val="single" w:sz="4" w:space="0" w:color="auto"/>
              <w:left w:val="nil"/>
              <w:bottom w:val="single" w:sz="4" w:space="0" w:color="auto"/>
              <w:right w:val="nil"/>
            </w:tcBorders>
            <w:hideMark/>
          </w:tcPr>
          <w:p w14:paraId="4DA52E83" w14:textId="77777777" w:rsidR="00A94B21" w:rsidRDefault="00A94B21">
            <w:pPr>
              <w:rPr>
                <w:b/>
                <w:sz w:val="22"/>
                <w:szCs w:val="22"/>
              </w:rPr>
            </w:pPr>
            <w:r>
              <w:rPr>
                <w:b/>
                <w:sz w:val="22"/>
                <w:szCs w:val="22"/>
              </w:rPr>
              <w:t xml:space="preserve">PPA </w:t>
            </w:r>
          </w:p>
        </w:tc>
        <w:tc>
          <w:tcPr>
            <w:tcW w:w="6283" w:type="dxa"/>
            <w:tcBorders>
              <w:top w:val="single" w:sz="4" w:space="0" w:color="auto"/>
              <w:left w:val="nil"/>
              <w:bottom w:val="single" w:sz="4" w:space="0" w:color="auto"/>
              <w:right w:val="nil"/>
            </w:tcBorders>
            <w:hideMark/>
          </w:tcPr>
          <w:p w14:paraId="54F62CEF" w14:textId="77777777" w:rsidR="00A94B21" w:rsidRDefault="00A94B21">
            <w:pPr>
              <w:rPr>
                <w:sz w:val="22"/>
                <w:szCs w:val="22"/>
              </w:rPr>
            </w:pPr>
            <w:r>
              <w:rPr>
                <w:sz w:val="22"/>
                <w:szCs w:val="22"/>
              </w:rPr>
              <w:t xml:space="preserve">Wagga Wagga City Council </w:t>
            </w:r>
          </w:p>
        </w:tc>
      </w:tr>
      <w:tr w:rsidR="00A94B21" w14:paraId="32438871" w14:textId="77777777" w:rsidTr="00A94B21">
        <w:trPr>
          <w:trHeight w:val="273"/>
        </w:trPr>
        <w:tc>
          <w:tcPr>
            <w:tcW w:w="2940" w:type="dxa"/>
            <w:tcBorders>
              <w:top w:val="single" w:sz="4" w:space="0" w:color="auto"/>
              <w:left w:val="nil"/>
              <w:bottom w:val="single" w:sz="4" w:space="0" w:color="auto"/>
              <w:right w:val="nil"/>
            </w:tcBorders>
            <w:hideMark/>
          </w:tcPr>
          <w:p w14:paraId="7C30C0CC" w14:textId="77777777" w:rsidR="00A94B21" w:rsidRDefault="00A94B21">
            <w:pPr>
              <w:rPr>
                <w:rFonts w:cs="Arial"/>
                <w:sz w:val="22"/>
                <w:szCs w:val="22"/>
              </w:rPr>
            </w:pPr>
            <w:r>
              <w:rPr>
                <w:b/>
                <w:sz w:val="22"/>
                <w:szCs w:val="22"/>
              </w:rPr>
              <w:t>NAME</w:t>
            </w:r>
          </w:p>
        </w:tc>
        <w:tc>
          <w:tcPr>
            <w:tcW w:w="6283" w:type="dxa"/>
            <w:tcBorders>
              <w:top w:val="single" w:sz="4" w:space="0" w:color="auto"/>
              <w:left w:val="nil"/>
              <w:bottom w:val="single" w:sz="4" w:space="0" w:color="auto"/>
              <w:right w:val="nil"/>
            </w:tcBorders>
            <w:hideMark/>
          </w:tcPr>
          <w:p w14:paraId="75615695" w14:textId="215A25FB" w:rsidR="00A94B21" w:rsidRDefault="00A94B21">
            <w:pPr>
              <w:rPr>
                <w:rFonts w:cs="Arial"/>
                <w:sz w:val="22"/>
                <w:szCs w:val="22"/>
              </w:rPr>
            </w:pPr>
            <w:r>
              <w:rPr>
                <w:rFonts w:cs="Arial"/>
                <w:sz w:val="22"/>
                <w:szCs w:val="22"/>
              </w:rPr>
              <w:t>Rezone land at</w:t>
            </w:r>
            <w:r w:rsidR="00B56586">
              <w:rPr>
                <w:rFonts w:cs="Arial"/>
                <w:sz w:val="22"/>
                <w:szCs w:val="22"/>
              </w:rPr>
              <w:t xml:space="preserve"> </w:t>
            </w:r>
            <w:r w:rsidR="00EA227A">
              <w:rPr>
                <w:rFonts w:cs="Arial"/>
                <w:sz w:val="22"/>
                <w:szCs w:val="22"/>
              </w:rPr>
              <w:t xml:space="preserve">Old </w:t>
            </w:r>
            <w:proofErr w:type="spellStart"/>
            <w:r w:rsidR="00EA227A">
              <w:rPr>
                <w:rFonts w:cs="Arial"/>
                <w:sz w:val="22"/>
                <w:szCs w:val="22"/>
              </w:rPr>
              <w:t>Bomen</w:t>
            </w:r>
            <w:proofErr w:type="spellEnd"/>
            <w:r w:rsidR="00EA227A">
              <w:rPr>
                <w:rFonts w:cs="Arial"/>
                <w:sz w:val="22"/>
                <w:szCs w:val="22"/>
              </w:rPr>
              <w:t xml:space="preserve"> Road, </w:t>
            </w:r>
            <w:r w:rsidR="00B56586">
              <w:rPr>
                <w:rFonts w:cs="Arial"/>
                <w:sz w:val="22"/>
                <w:szCs w:val="22"/>
              </w:rPr>
              <w:t xml:space="preserve">Hampden Ave, </w:t>
            </w:r>
            <w:proofErr w:type="spellStart"/>
            <w:r w:rsidR="00B56586">
              <w:rPr>
                <w:rFonts w:cs="Arial"/>
                <w:sz w:val="22"/>
                <w:szCs w:val="22"/>
              </w:rPr>
              <w:t>Cooramin</w:t>
            </w:r>
            <w:proofErr w:type="spellEnd"/>
            <w:r w:rsidR="00B56586">
              <w:rPr>
                <w:rFonts w:cs="Arial"/>
                <w:sz w:val="22"/>
                <w:szCs w:val="22"/>
              </w:rPr>
              <w:t xml:space="preserve"> Street, East Street and Horseshoe Road, Cartwrights Hill and Byrnes </w:t>
            </w:r>
            <w:r w:rsidR="00FA296B">
              <w:rPr>
                <w:rFonts w:cs="Arial"/>
                <w:sz w:val="22"/>
                <w:szCs w:val="22"/>
              </w:rPr>
              <w:t xml:space="preserve">Road </w:t>
            </w:r>
            <w:r w:rsidR="00B56586">
              <w:rPr>
                <w:rFonts w:cs="Arial"/>
                <w:sz w:val="22"/>
                <w:szCs w:val="22"/>
              </w:rPr>
              <w:t>and Hillary Road, North Wagga</w:t>
            </w:r>
            <w:r w:rsidR="00B56586" w:rsidDel="00B56586">
              <w:rPr>
                <w:rFonts w:cs="Arial"/>
                <w:sz w:val="22"/>
                <w:szCs w:val="22"/>
              </w:rPr>
              <w:t xml:space="preserve"> </w:t>
            </w:r>
            <w:r w:rsidR="00FA296B">
              <w:rPr>
                <w:rFonts w:cs="Arial"/>
                <w:sz w:val="22"/>
                <w:szCs w:val="22"/>
              </w:rPr>
              <w:t xml:space="preserve">Wagga </w:t>
            </w:r>
            <w:r>
              <w:rPr>
                <w:rFonts w:cs="Arial"/>
                <w:sz w:val="22"/>
                <w:szCs w:val="22"/>
              </w:rPr>
              <w:t>to RU6 Transition Zone with a 200ha MLS</w:t>
            </w:r>
          </w:p>
        </w:tc>
      </w:tr>
      <w:tr w:rsidR="00A94B21" w14:paraId="6ECD8E62" w14:textId="77777777" w:rsidTr="00A94B21">
        <w:trPr>
          <w:trHeight w:val="273"/>
        </w:trPr>
        <w:tc>
          <w:tcPr>
            <w:tcW w:w="2940" w:type="dxa"/>
            <w:tcBorders>
              <w:top w:val="single" w:sz="4" w:space="0" w:color="auto"/>
              <w:left w:val="nil"/>
              <w:bottom w:val="single" w:sz="4" w:space="0" w:color="auto"/>
              <w:right w:val="nil"/>
            </w:tcBorders>
            <w:hideMark/>
          </w:tcPr>
          <w:p w14:paraId="63D629B2" w14:textId="77777777" w:rsidR="00A94B21" w:rsidRDefault="00A94B21">
            <w:pPr>
              <w:rPr>
                <w:rFonts w:cs="Arial"/>
                <w:sz w:val="22"/>
                <w:szCs w:val="22"/>
              </w:rPr>
            </w:pPr>
            <w:r>
              <w:rPr>
                <w:b/>
                <w:sz w:val="22"/>
                <w:szCs w:val="22"/>
              </w:rPr>
              <w:t>NUMBER</w:t>
            </w:r>
          </w:p>
        </w:tc>
        <w:tc>
          <w:tcPr>
            <w:tcW w:w="6283" w:type="dxa"/>
            <w:tcBorders>
              <w:top w:val="single" w:sz="4" w:space="0" w:color="auto"/>
              <w:left w:val="nil"/>
              <w:bottom w:val="single" w:sz="4" w:space="0" w:color="auto"/>
              <w:right w:val="nil"/>
            </w:tcBorders>
            <w:hideMark/>
          </w:tcPr>
          <w:p w14:paraId="2A0A78EB" w14:textId="77777777" w:rsidR="00A94B21" w:rsidRDefault="00A94B21">
            <w:pPr>
              <w:rPr>
                <w:sz w:val="22"/>
                <w:szCs w:val="22"/>
              </w:rPr>
            </w:pPr>
            <w:r>
              <w:rPr>
                <w:sz w:val="22"/>
                <w:szCs w:val="22"/>
              </w:rPr>
              <w:t>PP_2020_WAGGA_002_00</w:t>
            </w:r>
          </w:p>
        </w:tc>
      </w:tr>
      <w:tr w:rsidR="00A94B21" w14:paraId="0F2D9111" w14:textId="77777777" w:rsidTr="00A94B21">
        <w:trPr>
          <w:trHeight w:val="273"/>
        </w:trPr>
        <w:tc>
          <w:tcPr>
            <w:tcW w:w="2940" w:type="dxa"/>
            <w:tcBorders>
              <w:top w:val="single" w:sz="4" w:space="0" w:color="auto"/>
              <w:left w:val="nil"/>
              <w:bottom w:val="single" w:sz="4" w:space="0" w:color="auto"/>
              <w:right w:val="nil"/>
            </w:tcBorders>
            <w:hideMark/>
          </w:tcPr>
          <w:p w14:paraId="5EDC3C96" w14:textId="77777777" w:rsidR="00A94B21" w:rsidRDefault="00A94B21">
            <w:pPr>
              <w:rPr>
                <w:b/>
                <w:sz w:val="22"/>
                <w:szCs w:val="22"/>
              </w:rPr>
            </w:pPr>
            <w:r>
              <w:rPr>
                <w:b/>
                <w:sz w:val="22"/>
                <w:szCs w:val="22"/>
              </w:rPr>
              <w:t xml:space="preserve">LEP TO BE AMENDED  </w:t>
            </w:r>
          </w:p>
        </w:tc>
        <w:tc>
          <w:tcPr>
            <w:tcW w:w="6283" w:type="dxa"/>
            <w:tcBorders>
              <w:top w:val="single" w:sz="4" w:space="0" w:color="auto"/>
              <w:left w:val="nil"/>
              <w:bottom w:val="single" w:sz="4" w:space="0" w:color="auto"/>
              <w:right w:val="nil"/>
            </w:tcBorders>
            <w:hideMark/>
          </w:tcPr>
          <w:p w14:paraId="420D316A" w14:textId="77777777" w:rsidR="00A94B21" w:rsidRDefault="00A94B21">
            <w:pPr>
              <w:rPr>
                <w:sz w:val="22"/>
                <w:szCs w:val="22"/>
              </w:rPr>
            </w:pPr>
            <w:r>
              <w:rPr>
                <w:sz w:val="22"/>
                <w:szCs w:val="22"/>
              </w:rPr>
              <w:t>Wagga Wagga Local Environmental Plan 2010</w:t>
            </w:r>
          </w:p>
        </w:tc>
      </w:tr>
      <w:tr w:rsidR="00A94B21" w14:paraId="696DB739" w14:textId="77777777" w:rsidTr="00A94B21">
        <w:trPr>
          <w:trHeight w:val="273"/>
        </w:trPr>
        <w:tc>
          <w:tcPr>
            <w:tcW w:w="2940" w:type="dxa"/>
            <w:tcBorders>
              <w:top w:val="single" w:sz="4" w:space="0" w:color="auto"/>
              <w:left w:val="nil"/>
              <w:bottom w:val="single" w:sz="4" w:space="0" w:color="auto"/>
              <w:right w:val="nil"/>
            </w:tcBorders>
            <w:hideMark/>
          </w:tcPr>
          <w:p w14:paraId="6222FFAE" w14:textId="77777777" w:rsidR="00A94B21" w:rsidRDefault="00A94B21">
            <w:pPr>
              <w:rPr>
                <w:b/>
                <w:sz w:val="22"/>
                <w:szCs w:val="22"/>
              </w:rPr>
            </w:pPr>
            <w:r>
              <w:rPr>
                <w:b/>
                <w:sz w:val="22"/>
                <w:szCs w:val="22"/>
              </w:rPr>
              <w:t>ADDRESS</w:t>
            </w:r>
          </w:p>
        </w:tc>
        <w:tc>
          <w:tcPr>
            <w:tcW w:w="6283" w:type="dxa"/>
            <w:tcBorders>
              <w:top w:val="single" w:sz="4" w:space="0" w:color="auto"/>
              <w:left w:val="nil"/>
              <w:bottom w:val="single" w:sz="4" w:space="0" w:color="auto"/>
              <w:right w:val="nil"/>
            </w:tcBorders>
            <w:hideMark/>
          </w:tcPr>
          <w:p w14:paraId="73B7B37D" w14:textId="1465081B" w:rsidR="00A94B21" w:rsidRDefault="00A94B21">
            <w:pPr>
              <w:rPr>
                <w:sz w:val="22"/>
                <w:szCs w:val="22"/>
              </w:rPr>
            </w:pPr>
            <w:r>
              <w:rPr>
                <w:sz w:val="22"/>
                <w:szCs w:val="22"/>
              </w:rPr>
              <w:t xml:space="preserve">Multiple lots at </w:t>
            </w:r>
            <w:r w:rsidR="00EA227A">
              <w:rPr>
                <w:sz w:val="22"/>
                <w:szCs w:val="22"/>
              </w:rPr>
              <w:t xml:space="preserve">Old </w:t>
            </w:r>
            <w:proofErr w:type="spellStart"/>
            <w:r w:rsidR="00EA227A">
              <w:rPr>
                <w:sz w:val="22"/>
                <w:szCs w:val="22"/>
              </w:rPr>
              <w:t>Bomen</w:t>
            </w:r>
            <w:proofErr w:type="spellEnd"/>
            <w:r w:rsidR="00EA227A">
              <w:rPr>
                <w:sz w:val="22"/>
                <w:szCs w:val="22"/>
              </w:rPr>
              <w:t xml:space="preserve"> </w:t>
            </w:r>
            <w:r w:rsidR="00B56586">
              <w:rPr>
                <w:rFonts w:cs="Arial"/>
                <w:sz w:val="22"/>
                <w:szCs w:val="22"/>
              </w:rPr>
              <w:t xml:space="preserve">Hampden Ave, </w:t>
            </w:r>
            <w:proofErr w:type="spellStart"/>
            <w:r w:rsidR="00B56586">
              <w:rPr>
                <w:rFonts w:cs="Arial"/>
                <w:sz w:val="22"/>
                <w:szCs w:val="22"/>
              </w:rPr>
              <w:t>Cooramin</w:t>
            </w:r>
            <w:proofErr w:type="spellEnd"/>
            <w:r w:rsidR="00B56586">
              <w:rPr>
                <w:rFonts w:cs="Arial"/>
                <w:sz w:val="22"/>
                <w:szCs w:val="22"/>
              </w:rPr>
              <w:t xml:space="preserve"> Street, East Street and Horseshoe Road, Cartwrights Hill and Byrnes </w:t>
            </w:r>
            <w:r w:rsidR="00FA296B">
              <w:rPr>
                <w:rFonts w:cs="Arial"/>
                <w:sz w:val="22"/>
                <w:szCs w:val="22"/>
              </w:rPr>
              <w:t xml:space="preserve">Road </w:t>
            </w:r>
            <w:r w:rsidR="00B56586">
              <w:rPr>
                <w:rFonts w:cs="Arial"/>
                <w:sz w:val="22"/>
                <w:szCs w:val="22"/>
              </w:rPr>
              <w:t>and Hillary Road, North Wagga</w:t>
            </w:r>
            <w:r w:rsidR="00FA296B">
              <w:rPr>
                <w:rFonts w:cs="Arial"/>
                <w:sz w:val="22"/>
                <w:szCs w:val="22"/>
              </w:rPr>
              <w:t xml:space="preserve"> Wagga</w:t>
            </w:r>
          </w:p>
        </w:tc>
      </w:tr>
      <w:tr w:rsidR="00A94B21" w14:paraId="61BA7BBC" w14:textId="77777777" w:rsidTr="00A94B21">
        <w:trPr>
          <w:trHeight w:val="273"/>
        </w:trPr>
        <w:tc>
          <w:tcPr>
            <w:tcW w:w="2940" w:type="dxa"/>
            <w:tcBorders>
              <w:top w:val="single" w:sz="4" w:space="0" w:color="auto"/>
              <w:left w:val="nil"/>
              <w:bottom w:val="single" w:sz="4" w:space="0" w:color="auto"/>
              <w:right w:val="nil"/>
            </w:tcBorders>
            <w:hideMark/>
          </w:tcPr>
          <w:p w14:paraId="311AE671" w14:textId="77777777" w:rsidR="00A94B21" w:rsidRDefault="00A94B21">
            <w:pPr>
              <w:rPr>
                <w:b/>
                <w:sz w:val="22"/>
                <w:szCs w:val="22"/>
              </w:rPr>
            </w:pPr>
            <w:r>
              <w:rPr>
                <w:b/>
                <w:sz w:val="22"/>
                <w:szCs w:val="22"/>
              </w:rPr>
              <w:t>DESCRIPTION</w:t>
            </w:r>
          </w:p>
        </w:tc>
        <w:tc>
          <w:tcPr>
            <w:tcW w:w="6283" w:type="dxa"/>
            <w:tcBorders>
              <w:top w:val="single" w:sz="4" w:space="0" w:color="auto"/>
              <w:left w:val="nil"/>
              <w:bottom w:val="single" w:sz="4" w:space="0" w:color="auto"/>
              <w:right w:val="nil"/>
            </w:tcBorders>
            <w:hideMark/>
          </w:tcPr>
          <w:p w14:paraId="700743A1" w14:textId="77777777" w:rsidR="00A94B21" w:rsidRDefault="00A94B21">
            <w:pPr>
              <w:rPr>
                <w:sz w:val="22"/>
                <w:szCs w:val="22"/>
              </w:rPr>
            </w:pPr>
            <w:r>
              <w:rPr>
                <w:sz w:val="22"/>
                <w:szCs w:val="22"/>
              </w:rPr>
              <w:t>See Appendix to planning proposal for list of affected lots</w:t>
            </w:r>
          </w:p>
        </w:tc>
      </w:tr>
      <w:tr w:rsidR="00A94B21" w14:paraId="7F962EE5" w14:textId="77777777" w:rsidTr="00A94B21">
        <w:trPr>
          <w:trHeight w:val="288"/>
        </w:trPr>
        <w:tc>
          <w:tcPr>
            <w:tcW w:w="2940" w:type="dxa"/>
            <w:tcBorders>
              <w:top w:val="single" w:sz="4" w:space="0" w:color="auto"/>
              <w:left w:val="nil"/>
              <w:bottom w:val="single" w:sz="4" w:space="0" w:color="auto"/>
              <w:right w:val="nil"/>
            </w:tcBorders>
            <w:hideMark/>
          </w:tcPr>
          <w:p w14:paraId="4A29CC10" w14:textId="77777777" w:rsidR="00A94B21" w:rsidRDefault="00A94B21">
            <w:pPr>
              <w:rPr>
                <w:b/>
                <w:sz w:val="22"/>
                <w:szCs w:val="22"/>
              </w:rPr>
            </w:pPr>
            <w:r>
              <w:rPr>
                <w:b/>
                <w:sz w:val="22"/>
                <w:szCs w:val="22"/>
              </w:rPr>
              <w:t>RECEIVED</w:t>
            </w:r>
          </w:p>
        </w:tc>
        <w:tc>
          <w:tcPr>
            <w:tcW w:w="6283" w:type="dxa"/>
            <w:tcBorders>
              <w:top w:val="single" w:sz="4" w:space="0" w:color="auto"/>
              <w:left w:val="nil"/>
              <w:bottom w:val="single" w:sz="4" w:space="0" w:color="auto"/>
              <w:right w:val="nil"/>
            </w:tcBorders>
            <w:hideMark/>
          </w:tcPr>
          <w:p w14:paraId="408669D0" w14:textId="77777777" w:rsidR="00A94B21" w:rsidRDefault="00A94B21">
            <w:pPr>
              <w:rPr>
                <w:sz w:val="22"/>
                <w:szCs w:val="22"/>
              </w:rPr>
            </w:pPr>
            <w:r>
              <w:rPr>
                <w:sz w:val="22"/>
                <w:szCs w:val="22"/>
              </w:rPr>
              <w:t>9/09/2020 (NB. Adequate on 15/9/2020)</w:t>
            </w:r>
          </w:p>
        </w:tc>
      </w:tr>
      <w:tr w:rsidR="00A94B21" w14:paraId="320A1385" w14:textId="77777777" w:rsidTr="00A94B21">
        <w:trPr>
          <w:trHeight w:val="273"/>
        </w:trPr>
        <w:tc>
          <w:tcPr>
            <w:tcW w:w="2940" w:type="dxa"/>
            <w:tcBorders>
              <w:top w:val="single" w:sz="4" w:space="0" w:color="auto"/>
              <w:left w:val="nil"/>
              <w:bottom w:val="single" w:sz="4" w:space="0" w:color="auto"/>
              <w:right w:val="nil"/>
            </w:tcBorders>
            <w:hideMark/>
          </w:tcPr>
          <w:p w14:paraId="3F91FB55" w14:textId="77777777" w:rsidR="00A94B21" w:rsidRDefault="00A94B21">
            <w:pPr>
              <w:rPr>
                <w:b/>
                <w:sz w:val="22"/>
                <w:szCs w:val="22"/>
              </w:rPr>
            </w:pPr>
            <w:r>
              <w:rPr>
                <w:b/>
                <w:sz w:val="22"/>
                <w:szCs w:val="22"/>
              </w:rPr>
              <w:t>FILE NO.</w:t>
            </w:r>
          </w:p>
        </w:tc>
        <w:tc>
          <w:tcPr>
            <w:tcW w:w="6283" w:type="dxa"/>
            <w:tcBorders>
              <w:top w:val="single" w:sz="4" w:space="0" w:color="auto"/>
              <w:left w:val="nil"/>
              <w:bottom w:val="single" w:sz="4" w:space="0" w:color="auto"/>
              <w:right w:val="nil"/>
            </w:tcBorders>
            <w:hideMark/>
          </w:tcPr>
          <w:p w14:paraId="5E63B455" w14:textId="77777777" w:rsidR="00A94B21" w:rsidRDefault="00A94B21">
            <w:pPr>
              <w:rPr>
                <w:sz w:val="22"/>
                <w:szCs w:val="22"/>
              </w:rPr>
            </w:pPr>
            <w:r>
              <w:rPr>
                <w:sz w:val="22"/>
                <w:szCs w:val="22"/>
              </w:rPr>
              <w:t>EF19/29803</w:t>
            </w:r>
          </w:p>
        </w:tc>
      </w:tr>
      <w:tr w:rsidR="00A94B21" w14:paraId="25929450" w14:textId="77777777" w:rsidTr="00A94B21">
        <w:trPr>
          <w:trHeight w:val="652"/>
        </w:trPr>
        <w:tc>
          <w:tcPr>
            <w:tcW w:w="2940" w:type="dxa"/>
            <w:tcBorders>
              <w:top w:val="single" w:sz="4" w:space="0" w:color="auto"/>
              <w:left w:val="nil"/>
              <w:bottom w:val="single" w:sz="4" w:space="0" w:color="auto"/>
              <w:right w:val="nil"/>
            </w:tcBorders>
            <w:hideMark/>
          </w:tcPr>
          <w:p w14:paraId="479BABB5" w14:textId="77777777" w:rsidR="00A94B21" w:rsidRDefault="00A94B21">
            <w:pPr>
              <w:rPr>
                <w:b/>
                <w:sz w:val="22"/>
                <w:szCs w:val="22"/>
              </w:rPr>
            </w:pPr>
            <w:r>
              <w:rPr>
                <w:b/>
                <w:sz w:val="22"/>
                <w:szCs w:val="22"/>
              </w:rPr>
              <w:t>POLITICAL DONATIONS</w:t>
            </w:r>
          </w:p>
        </w:tc>
        <w:tc>
          <w:tcPr>
            <w:tcW w:w="6283" w:type="dxa"/>
            <w:tcBorders>
              <w:top w:val="single" w:sz="4" w:space="0" w:color="auto"/>
              <w:left w:val="nil"/>
              <w:bottom w:val="single" w:sz="4" w:space="0" w:color="auto"/>
              <w:right w:val="nil"/>
            </w:tcBorders>
            <w:hideMark/>
          </w:tcPr>
          <w:p w14:paraId="3A172927" w14:textId="77777777" w:rsidR="00A94B21" w:rsidRDefault="00A94B21">
            <w:pPr>
              <w:rPr>
                <w:sz w:val="22"/>
                <w:szCs w:val="22"/>
              </w:rPr>
            </w:pPr>
            <w:r>
              <w:rPr>
                <w:sz w:val="22"/>
                <w:szCs w:val="22"/>
              </w:rPr>
              <w:t>There are no donations or gifts to disclose and a political donation disclosure is not required</w:t>
            </w:r>
          </w:p>
        </w:tc>
      </w:tr>
      <w:tr w:rsidR="00A94B21" w14:paraId="2FEE7758" w14:textId="77777777" w:rsidTr="00A94B21">
        <w:trPr>
          <w:trHeight w:val="665"/>
        </w:trPr>
        <w:tc>
          <w:tcPr>
            <w:tcW w:w="2940" w:type="dxa"/>
            <w:tcBorders>
              <w:top w:val="single" w:sz="4" w:space="0" w:color="auto"/>
              <w:left w:val="nil"/>
              <w:bottom w:val="single" w:sz="4" w:space="0" w:color="auto"/>
              <w:right w:val="nil"/>
            </w:tcBorders>
            <w:hideMark/>
          </w:tcPr>
          <w:p w14:paraId="03507E0F" w14:textId="77777777" w:rsidR="00A94B21" w:rsidRDefault="00A94B21">
            <w:pPr>
              <w:rPr>
                <w:b/>
                <w:sz w:val="22"/>
                <w:szCs w:val="22"/>
              </w:rPr>
            </w:pPr>
            <w:r>
              <w:rPr>
                <w:b/>
                <w:sz w:val="22"/>
                <w:szCs w:val="22"/>
              </w:rPr>
              <w:t>LOBBYIST CODE OF CONDUCT</w:t>
            </w:r>
          </w:p>
        </w:tc>
        <w:tc>
          <w:tcPr>
            <w:tcW w:w="6283" w:type="dxa"/>
            <w:tcBorders>
              <w:top w:val="single" w:sz="4" w:space="0" w:color="auto"/>
              <w:left w:val="nil"/>
              <w:bottom w:val="single" w:sz="4" w:space="0" w:color="auto"/>
              <w:right w:val="nil"/>
            </w:tcBorders>
            <w:hideMark/>
          </w:tcPr>
          <w:p w14:paraId="4200B361" w14:textId="77777777" w:rsidR="00A94B21" w:rsidRDefault="00A94B21">
            <w:pPr>
              <w:rPr>
                <w:sz w:val="22"/>
                <w:szCs w:val="22"/>
              </w:rPr>
            </w:pPr>
            <w:r>
              <w:rPr>
                <w:sz w:val="22"/>
                <w:szCs w:val="22"/>
              </w:rPr>
              <w:t xml:space="preserve">There have been no meetings or communications with registered lobbyists with respect to this proposal </w:t>
            </w:r>
          </w:p>
        </w:tc>
      </w:tr>
    </w:tbl>
    <w:p w14:paraId="6A65330C" w14:textId="77777777" w:rsidR="00A94B21" w:rsidRDefault="00A94B21" w:rsidP="00A94B21">
      <w:pPr>
        <w:tabs>
          <w:tab w:val="right" w:pos="9752"/>
        </w:tabs>
        <w:ind w:left="181" w:hanging="181"/>
        <w:rPr>
          <w:rFonts w:cs="Arial"/>
          <w:b/>
          <w:sz w:val="22"/>
          <w:szCs w:val="22"/>
        </w:rPr>
      </w:pPr>
    </w:p>
    <w:p w14:paraId="47644985" w14:textId="77777777" w:rsidR="00A94B21" w:rsidRDefault="00A94B21" w:rsidP="00A94B21">
      <w:pPr>
        <w:pBdr>
          <w:bottom w:val="single" w:sz="4" w:space="1" w:color="auto"/>
        </w:pBdr>
        <w:tabs>
          <w:tab w:val="left" w:pos="2520"/>
        </w:tabs>
        <w:spacing w:before="240" w:after="120"/>
        <w:rPr>
          <w:rFonts w:cs="Arial"/>
          <w:b/>
          <w:sz w:val="22"/>
          <w:szCs w:val="22"/>
        </w:rPr>
      </w:pPr>
      <w:r>
        <w:rPr>
          <w:rFonts w:cs="Arial"/>
          <w:b/>
          <w:sz w:val="22"/>
          <w:szCs w:val="22"/>
        </w:rPr>
        <w:t>1. INTRODUCTION</w:t>
      </w:r>
    </w:p>
    <w:p w14:paraId="6D655E50" w14:textId="77777777" w:rsidR="00A94B21" w:rsidRDefault="00A94B21" w:rsidP="00A94B21">
      <w:pPr>
        <w:tabs>
          <w:tab w:val="left" w:pos="2520"/>
        </w:tabs>
        <w:rPr>
          <w:rFonts w:cs="Arial"/>
          <w:b/>
          <w:sz w:val="22"/>
          <w:szCs w:val="22"/>
        </w:rPr>
      </w:pPr>
      <w:r>
        <w:rPr>
          <w:rFonts w:cs="Arial"/>
          <w:b/>
          <w:sz w:val="22"/>
          <w:szCs w:val="22"/>
        </w:rPr>
        <w:t>1.1 Description of planning proposal</w:t>
      </w:r>
    </w:p>
    <w:p w14:paraId="64E00B96" w14:textId="21F37157" w:rsidR="00A94B21" w:rsidRDefault="00A94B21" w:rsidP="00A94B21">
      <w:pPr>
        <w:tabs>
          <w:tab w:val="left" w:pos="2520"/>
        </w:tabs>
        <w:spacing w:after="120"/>
        <w:rPr>
          <w:rFonts w:cs="Arial"/>
          <w:sz w:val="22"/>
          <w:szCs w:val="22"/>
        </w:rPr>
      </w:pPr>
      <w:r>
        <w:rPr>
          <w:rFonts w:cs="Arial"/>
          <w:sz w:val="22"/>
          <w:szCs w:val="22"/>
        </w:rPr>
        <w:t xml:space="preserve">The proposal is to rezone </w:t>
      </w:r>
      <w:r w:rsidR="00FA296B">
        <w:rPr>
          <w:rFonts w:cs="Arial"/>
          <w:sz w:val="22"/>
          <w:szCs w:val="22"/>
        </w:rPr>
        <w:t>land adjoining the Wagga Wagga Special Activation Precinct (</w:t>
      </w:r>
      <w:r>
        <w:rPr>
          <w:rFonts w:cs="Arial"/>
          <w:sz w:val="22"/>
          <w:szCs w:val="22"/>
        </w:rPr>
        <w:t xml:space="preserve">at </w:t>
      </w:r>
      <w:r w:rsidR="00B56586">
        <w:rPr>
          <w:rFonts w:cs="Arial"/>
          <w:sz w:val="22"/>
          <w:szCs w:val="22"/>
        </w:rPr>
        <w:t xml:space="preserve">Hampden Ave, </w:t>
      </w:r>
      <w:proofErr w:type="spellStart"/>
      <w:r w:rsidR="00B56586">
        <w:rPr>
          <w:rFonts w:cs="Arial"/>
          <w:sz w:val="22"/>
          <w:szCs w:val="22"/>
        </w:rPr>
        <w:t>Cooramin</w:t>
      </w:r>
      <w:proofErr w:type="spellEnd"/>
      <w:r w:rsidR="00B56586">
        <w:rPr>
          <w:rFonts w:cs="Arial"/>
          <w:sz w:val="22"/>
          <w:szCs w:val="22"/>
        </w:rPr>
        <w:t xml:space="preserve"> Street, East Street and Horseshoe Road, </w:t>
      </w:r>
      <w:r w:rsidR="00475A5C">
        <w:rPr>
          <w:rFonts w:cs="Arial"/>
          <w:sz w:val="22"/>
          <w:szCs w:val="22"/>
        </w:rPr>
        <w:t>Cartwrights</w:t>
      </w:r>
      <w:r>
        <w:rPr>
          <w:rFonts w:cs="Arial"/>
          <w:sz w:val="22"/>
          <w:szCs w:val="22"/>
        </w:rPr>
        <w:t xml:space="preserve"> Hill and Byrnes</w:t>
      </w:r>
      <w:r w:rsidR="00B56586">
        <w:rPr>
          <w:rFonts w:cs="Arial"/>
          <w:sz w:val="22"/>
          <w:szCs w:val="22"/>
        </w:rPr>
        <w:t xml:space="preserve"> </w:t>
      </w:r>
      <w:r w:rsidR="00FA296B">
        <w:rPr>
          <w:rFonts w:cs="Arial"/>
          <w:sz w:val="22"/>
          <w:szCs w:val="22"/>
        </w:rPr>
        <w:t xml:space="preserve">Road </w:t>
      </w:r>
      <w:r w:rsidR="00B56586">
        <w:rPr>
          <w:rFonts w:cs="Arial"/>
          <w:sz w:val="22"/>
          <w:szCs w:val="22"/>
        </w:rPr>
        <w:t>and Hillary</w:t>
      </w:r>
      <w:r>
        <w:rPr>
          <w:rFonts w:cs="Arial"/>
          <w:sz w:val="22"/>
          <w:szCs w:val="22"/>
        </w:rPr>
        <w:t xml:space="preserve"> Road</w:t>
      </w:r>
      <w:r w:rsidR="00B56586">
        <w:rPr>
          <w:rFonts w:cs="Arial"/>
          <w:sz w:val="22"/>
          <w:szCs w:val="22"/>
        </w:rPr>
        <w:t>, North Wagga</w:t>
      </w:r>
      <w:r w:rsidR="00FA296B">
        <w:rPr>
          <w:rFonts w:cs="Arial"/>
          <w:sz w:val="22"/>
          <w:szCs w:val="22"/>
        </w:rPr>
        <w:t xml:space="preserve"> Wagga)</w:t>
      </w:r>
      <w:r>
        <w:rPr>
          <w:rFonts w:cs="Arial"/>
          <w:sz w:val="22"/>
          <w:szCs w:val="22"/>
        </w:rPr>
        <w:t xml:space="preserve"> from R5 Large Lot Residential Development and RU4 Primary Production respectively to RU6 Transition Zone. The minimum lot size for both areas would change from 1ha and 2ha respectively to 200ha </w:t>
      </w:r>
      <w:r w:rsidRPr="00A30144">
        <w:rPr>
          <w:rFonts w:cs="Arial"/>
          <w:sz w:val="22"/>
          <w:szCs w:val="22"/>
        </w:rPr>
        <w:t xml:space="preserve">for </w:t>
      </w:r>
      <w:r w:rsidR="00866E9D" w:rsidRPr="00A30144">
        <w:rPr>
          <w:rFonts w:cs="Arial"/>
          <w:sz w:val="22"/>
          <w:szCs w:val="22"/>
        </w:rPr>
        <w:t xml:space="preserve">subdivision and </w:t>
      </w:r>
      <w:r w:rsidRPr="00A30144">
        <w:rPr>
          <w:rFonts w:cs="Arial"/>
          <w:sz w:val="22"/>
          <w:szCs w:val="22"/>
        </w:rPr>
        <w:t>the erection of a dwelling</w:t>
      </w:r>
      <w:r w:rsidRPr="000A5846">
        <w:rPr>
          <w:rFonts w:cs="Arial"/>
          <w:sz w:val="22"/>
          <w:szCs w:val="22"/>
        </w:rPr>
        <w:t>.</w:t>
      </w:r>
      <w:r>
        <w:rPr>
          <w:rFonts w:cs="Arial"/>
          <w:sz w:val="22"/>
          <w:szCs w:val="22"/>
        </w:rPr>
        <w:t xml:space="preserve"> </w:t>
      </w:r>
    </w:p>
    <w:p w14:paraId="02296252" w14:textId="77777777" w:rsidR="00A94B21" w:rsidRDefault="00A94B21" w:rsidP="00A94B21">
      <w:pPr>
        <w:tabs>
          <w:tab w:val="left" w:pos="2520"/>
        </w:tabs>
        <w:rPr>
          <w:rFonts w:cs="Arial"/>
          <w:b/>
          <w:sz w:val="22"/>
          <w:szCs w:val="22"/>
        </w:rPr>
      </w:pPr>
      <w:r>
        <w:rPr>
          <w:rFonts w:cs="Arial"/>
          <w:b/>
          <w:sz w:val="22"/>
          <w:szCs w:val="22"/>
        </w:rPr>
        <w:t>1.2 Site description</w:t>
      </w:r>
    </w:p>
    <w:p w14:paraId="08AD9BB0" w14:textId="6B2E77F6" w:rsidR="00A94B21" w:rsidRDefault="00A94B21" w:rsidP="00A94B21">
      <w:pPr>
        <w:tabs>
          <w:tab w:val="left" w:pos="2520"/>
        </w:tabs>
        <w:spacing w:after="120"/>
        <w:rPr>
          <w:rFonts w:cs="Arial"/>
          <w:sz w:val="22"/>
          <w:szCs w:val="22"/>
        </w:rPr>
      </w:pPr>
      <w:r>
        <w:rPr>
          <w:rFonts w:cs="Arial"/>
          <w:sz w:val="22"/>
          <w:szCs w:val="22"/>
        </w:rPr>
        <w:t xml:space="preserve">The subject land is located to the north east of </w:t>
      </w:r>
      <w:r w:rsidR="00475A5C">
        <w:rPr>
          <w:rFonts w:cs="Arial"/>
          <w:sz w:val="22"/>
          <w:szCs w:val="22"/>
        </w:rPr>
        <w:t xml:space="preserve">the City of </w:t>
      </w:r>
      <w:r>
        <w:rPr>
          <w:rFonts w:cs="Arial"/>
          <w:sz w:val="22"/>
          <w:szCs w:val="22"/>
        </w:rPr>
        <w:t xml:space="preserve">Wagga Wagga in a rural setting largely developed for rural living and small lot primary production. </w:t>
      </w:r>
    </w:p>
    <w:p w14:paraId="073A75C0" w14:textId="69483E63" w:rsidR="00A94B21" w:rsidRDefault="00A94B21" w:rsidP="00A94B21">
      <w:pPr>
        <w:tabs>
          <w:tab w:val="left" w:pos="2520"/>
        </w:tabs>
        <w:spacing w:after="120"/>
        <w:rPr>
          <w:rFonts w:cs="Arial"/>
          <w:sz w:val="22"/>
          <w:szCs w:val="22"/>
        </w:rPr>
      </w:pPr>
      <w:r>
        <w:rPr>
          <w:rFonts w:cs="Arial"/>
          <w:sz w:val="22"/>
          <w:szCs w:val="22"/>
        </w:rPr>
        <w:t xml:space="preserve">The </w:t>
      </w:r>
      <w:r w:rsidR="00475A5C">
        <w:rPr>
          <w:rFonts w:cs="Arial"/>
          <w:sz w:val="22"/>
          <w:szCs w:val="22"/>
        </w:rPr>
        <w:t>Cartwrights</w:t>
      </w:r>
      <w:r>
        <w:rPr>
          <w:rFonts w:cs="Arial"/>
          <w:sz w:val="22"/>
          <w:szCs w:val="22"/>
        </w:rPr>
        <w:t xml:space="preserve"> Hill location consists of 57 lots, currently zoned and mostly developed for rural residential development, although a few lots are used for other uses such as </w:t>
      </w:r>
      <w:r w:rsidR="001D1590">
        <w:rPr>
          <w:rFonts w:cs="Arial"/>
          <w:sz w:val="22"/>
          <w:szCs w:val="22"/>
        </w:rPr>
        <w:t>a hotel/motel</w:t>
      </w:r>
      <w:r>
        <w:rPr>
          <w:rFonts w:cs="Arial"/>
          <w:sz w:val="22"/>
          <w:szCs w:val="22"/>
        </w:rPr>
        <w:t xml:space="preserve"> and a caravan park. </w:t>
      </w:r>
    </w:p>
    <w:p w14:paraId="68C403CE" w14:textId="3C0C7831" w:rsidR="00A94B21" w:rsidRDefault="00A94B21" w:rsidP="00A94B21">
      <w:pPr>
        <w:tabs>
          <w:tab w:val="left" w:pos="2520"/>
        </w:tabs>
        <w:spacing w:after="120"/>
        <w:rPr>
          <w:rFonts w:cs="Arial"/>
          <w:sz w:val="22"/>
          <w:szCs w:val="22"/>
        </w:rPr>
      </w:pPr>
      <w:r>
        <w:rPr>
          <w:rFonts w:cs="Arial"/>
          <w:sz w:val="22"/>
          <w:szCs w:val="22"/>
        </w:rPr>
        <w:t xml:space="preserve">The </w:t>
      </w:r>
      <w:r w:rsidR="00FA296B">
        <w:rPr>
          <w:rFonts w:cs="Arial"/>
          <w:sz w:val="22"/>
          <w:szCs w:val="22"/>
        </w:rPr>
        <w:t xml:space="preserve">North Wagga Wagga </w:t>
      </w:r>
      <w:r>
        <w:rPr>
          <w:rFonts w:cs="Arial"/>
          <w:sz w:val="22"/>
          <w:szCs w:val="22"/>
        </w:rPr>
        <w:t>location consists of 14 lots, all with existing dwellings on larger rural living lots</w:t>
      </w:r>
      <w:r w:rsidR="00CC6027">
        <w:rPr>
          <w:rFonts w:cs="Arial"/>
          <w:sz w:val="22"/>
          <w:szCs w:val="22"/>
        </w:rPr>
        <w:t>, averaging 2ha in size</w:t>
      </w:r>
      <w:r>
        <w:rPr>
          <w:rFonts w:cs="Arial"/>
          <w:sz w:val="22"/>
          <w:szCs w:val="22"/>
        </w:rPr>
        <w:t>.</w:t>
      </w:r>
    </w:p>
    <w:p w14:paraId="42D2E834" w14:textId="34EE1C64" w:rsidR="00A94B21" w:rsidRDefault="00A94B21" w:rsidP="00A94B21">
      <w:pPr>
        <w:tabs>
          <w:tab w:val="left" w:pos="2520"/>
        </w:tabs>
        <w:spacing w:after="120"/>
        <w:rPr>
          <w:rFonts w:cs="Arial"/>
          <w:sz w:val="22"/>
          <w:szCs w:val="22"/>
        </w:rPr>
      </w:pPr>
      <w:r>
        <w:rPr>
          <w:rFonts w:cs="Arial"/>
          <w:sz w:val="22"/>
          <w:szCs w:val="22"/>
        </w:rPr>
        <w:t>Most lots within each location have dwellings and are largely cleared of vegetation (</w:t>
      </w:r>
      <w:r w:rsidR="001D1590">
        <w:rPr>
          <w:rFonts w:cs="Arial"/>
          <w:sz w:val="22"/>
          <w:szCs w:val="22"/>
        </w:rPr>
        <w:t>s</w:t>
      </w:r>
      <w:r>
        <w:rPr>
          <w:rFonts w:cs="Arial"/>
          <w:sz w:val="22"/>
          <w:szCs w:val="22"/>
        </w:rPr>
        <w:t>ee Figure 1).</w:t>
      </w:r>
    </w:p>
    <w:p w14:paraId="3022FB31" w14:textId="77777777" w:rsidR="00A94B21" w:rsidRDefault="00A94B21" w:rsidP="00A94B21">
      <w:pPr>
        <w:rPr>
          <w:i/>
          <w:sz w:val="22"/>
          <w:szCs w:val="22"/>
        </w:rPr>
      </w:pPr>
      <w:r>
        <w:rPr>
          <w:i/>
          <w:sz w:val="22"/>
          <w:szCs w:val="22"/>
        </w:rPr>
        <w:br w:type="page"/>
      </w:r>
    </w:p>
    <w:p w14:paraId="490B5AA5" w14:textId="239C9AE8" w:rsidR="00A94B21" w:rsidRDefault="00A94B21" w:rsidP="00A94B21">
      <w:pPr>
        <w:tabs>
          <w:tab w:val="left" w:pos="2520"/>
        </w:tabs>
        <w:rPr>
          <w:i/>
          <w:sz w:val="18"/>
          <w:szCs w:val="18"/>
        </w:rPr>
      </w:pPr>
      <w:r>
        <w:rPr>
          <w:i/>
          <w:sz w:val="22"/>
          <w:szCs w:val="22"/>
        </w:rPr>
        <w:lastRenderedPageBreak/>
        <w:t xml:space="preserve">Figure </w:t>
      </w:r>
      <w:r>
        <w:rPr>
          <w:i/>
          <w:sz w:val="22"/>
          <w:szCs w:val="22"/>
        </w:rPr>
        <w:fldChar w:fldCharType="begin"/>
      </w:r>
      <w:r>
        <w:rPr>
          <w:i/>
          <w:sz w:val="22"/>
          <w:szCs w:val="22"/>
        </w:rPr>
        <w:instrText xml:space="preserve"> SEQ Figure \* ARABIC </w:instrText>
      </w:r>
      <w:r>
        <w:rPr>
          <w:i/>
          <w:sz w:val="22"/>
          <w:szCs w:val="22"/>
        </w:rPr>
        <w:fldChar w:fldCharType="separate"/>
      </w:r>
      <w:r>
        <w:rPr>
          <w:i/>
          <w:noProof/>
          <w:sz w:val="22"/>
          <w:szCs w:val="22"/>
        </w:rPr>
        <w:t>1</w:t>
      </w:r>
      <w:r>
        <w:rPr>
          <w:i/>
          <w:sz w:val="22"/>
          <w:szCs w:val="22"/>
        </w:rPr>
        <w:fldChar w:fldCharType="end"/>
      </w:r>
      <w:r>
        <w:rPr>
          <w:i/>
          <w:sz w:val="22"/>
          <w:szCs w:val="22"/>
        </w:rPr>
        <w:t xml:space="preserve"> - Subject land at </w:t>
      </w:r>
      <w:r w:rsidR="00475A5C">
        <w:rPr>
          <w:i/>
          <w:sz w:val="22"/>
          <w:szCs w:val="22"/>
        </w:rPr>
        <w:t>Cartwrights</w:t>
      </w:r>
      <w:r>
        <w:rPr>
          <w:i/>
          <w:sz w:val="22"/>
          <w:szCs w:val="22"/>
        </w:rPr>
        <w:t xml:space="preserve"> Hill and </w:t>
      </w:r>
      <w:r w:rsidR="001D1590">
        <w:rPr>
          <w:i/>
          <w:sz w:val="22"/>
          <w:szCs w:val="22"/>
        </w:rPr>
        <w:t>North Wagga Wagga</w:t>
      </w:r>
      <w:r>
        <w:rPr>
          <w:i/>
          <w:sz w:val="22"/>
          <w:szCs w:val="22"/>
        </w:rPr>
        <w:t xml:space="preserve"> </w:t>
      </w:r>
      <w:r>
        <w:rPr>
          <w:i/>
          <w:sz w:val="18"/>
          <w:szCs w:val="18"/>
        </w:rPr>
        <w:t>(extract from planning proposal)</w:t>
      </w:r>
    </w:p>
    <w:p w14:paraId="53A14F98" w14:textId="321A97D2" w:rsidR="00A94B21" w:rsidRDefault="00A94B21" w:rsidP="00A94B21">
      <w:pPr>
        <w:pStyle w:val="Caption"/>
        <w:keepNext/>
        <w:rPr>
          <w:rFonts w:cs="Arial"/>
          <w:b/>
          <w:color w:val="auto"/>
          <w:sz w:val="22"/>
          <w:szCs w:val="22"/>
        </w:rPr>
      </w:pPr>
      <w:r>
        <w:rPr>
          <w:noProof/>
          <w:color w:val="auto"/>
          <w:sz w:val="22"/>
          <w:szCs w:val="22"/>
        </w:rPr>
        <w:drawing>
          <wp:inline distT="0" distB="0" distL="0" distR="0" wp14:anchorId="2ABAA2D4" wp14:editId="5484A6BA">
            <wp:extent cx="4611757" cy="33590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7173" cy="3363014"/>
                    </a:xfrm>
                    <a:prstGeom prst="rect">
                      <a:avLst/>
                    </a:prstGeom>
                    <a:noFill/>
                    <a:ln>
                      <a:noFill/>
                    </a:ln>
                  </pic:spPr>
                </pic:pic>
              </a:graphicData>
            </a:graphic>
          </wp:inline>
        </w:drawing>
      </w:r>
    </w:p>
    <w:p w14:paraId="6E776A62" w14:textId="77777777" w:rsidR="00A94B21" w:rsidRDefault="00A94B21" w:rsidP="00A94B21">
      <w:pPr>
        <w:tabs>
          <w:tab w:val="left" w:pos="2520"/>
        </w:tabs>
        <w:rPr>
          <w:rFonts w:cs="Arial"/>
          <w:b/>
          <w:sz w:val="22"/>
          <w:szCs w:val="22"/>
        </w:rPr>
      </w:pPr>
      <w:r>
        <w:rPr>
          <w:rFonts w:cs="Arial"/>
          <w:b/>
          <w:sz w:val="22"/>
          <w:szCs w:val="22"/>
        </w:rPr>
        <w:t>1.3 Existing planning controls</w:t>
      </w:r>
    </w:p>
    <w:p w14:paraId="76392E94" w14:textId="68A6FC89" w:rsidR="00A94B21" w:rsidRDefault="00A94B21" w:rsidP="00A94B21">
      <w:pPr>
        <w:tabs>
          <w:tab w:val="left" w:pos="2520"/>
        </w:tabs>
        <w:spacing w:after="120"/>
        <w:rPr>
          <w:rFonts w:cs="Arial"/>
          <w:sz w:val="22"/>
          <w:szCs w:val="22"/>
        </w:rPr>
      </w:pPr>
      <w:r>
        <w:rPr>
          <w:rFonts w:cs="Arial"/>
          <w:sz w:val="22"/>
          <w:szCs w:val="22"/>
        </w:rPr>
        <w:t>The subject lands are zoned R5 Large Lot Residential Zone (Cartwrights Hill) and RU4 Primary Production Small Lots Zone (</w:t>
      </w:r>
      <w:r w:rsidR="001D1590">
        <w:rPr>
          <w:rFonts w:cs="Arial"/>
          <w:sz w:val="22"/>
          <w:szCs w:val="22"/>
        </w:rPr>
        <w:t>North Wagga Wagga</w:t>
      </w:r>
      <w:r>
        <w:rPr>
          <w:rFonts w:cs="Arial"/>
          <w:sz w:val="22"/>
          <w:szCs w:val="22"/>
        </w:rPr>
        <w:t>) (See Figure 2</w:t>
      </w:r>
      <w:r w:rsidR="001D1590">
        <w:rPr>
          <w:rFonts w:cs="Arial"/>
          <w:sz w:val="22"/>
          <w:szCs w:val="22"/>
        </w:rPr>
        <w:t>)</w:t>
      </w:r>
      <w:r>
        <w:rPr>
          <w:rFonts w:cs="Arial"/>
          <w:sz w:val="22"/>
          <w:szCs w:val="22"/>
        </w:rPr>
        <w:t xml:space="preserve"> </w:t>
      </w:r>
      <w:r w:rsidR="001D1590">
        <w:rPr>
          <w:rFonts w:cs="Arial"/>
          <w:sz w:val="22"/>
          <w:szCs w:val="22"/>
        </w:rPr>
        <w:t>(</w:t>
      </w:r>
      <w:r>
        <w:rPr>
          <w:rFonts w:cs="Arial"/>
          <w:sz w:val="20"/>
        </w:rPr>
        <w:t xml:space="preserve">Note. Figure 2 includes </w:t>
      </w:r>
      <w:r w:rsidR="001D1590">
        <w:rPr>
          <w:rFonts w:cs="Arial"/>
          <w:sz w:val="20"/>
        </w:rPr>
        <w:t xml:space="preserve">adjoining </w:t>
      </w:r>
      <w:r>
        <w:rPr>
          <w:rFonts w:cs="Arial"/>
          <w:sz w:val="20"/>
        </w:rPr>
        <w:t xml:space="preserve">lands proposed to change to Special Activation Precinct zones </w:t>
      </w:r>
      <w:r w:rsidR="001D1590">
        <w:rPr>
          <w:rFonts w:cs="Arial"/>
          <w:sz w:val="20"/>
        </w:rPr>
        <w:t xml:space="preserve">(Regional Enterprise and Rural Activity Zone) </w:t>
      </w:r>
      <w:r>
        <w:rPr>
          <w:rFonts w:cs="Arial"/>
          <w:sz w:val="20"/>
        </w:rPr>
        <w:t>which do not form part of this planning proposal).</w:t>
      </w:r>
    </w:p>
    <w:p w14:paraId="0ABCE313" w14:textId="77777777" w:rsidR="00A94B21" w:rsidRDefault="00A94B21" w:rsidP="00A94B21">
      <w:pPr>
        <w:tabs>
          <w:tab w:val="left" w:pos="2520"/>
        </w:tabs>
        <w:rPr>
          <w:i/>
          <w:sz w:val="18"/>
          <w:szCs w:val="18"/>
        </w:rPr>
      </w:pPr>
      <w:r>
        <w:rPr>
          <w:i/>
          <w:sz w:val="22"/>
          <w:szCs w:val="22"/>
        </w:rPr>
        <w:t xml:space="preserve">Figure </w:t>
      </w:r>
      <w:r>
        <w:rPr>
          <w:i/>
          <w:sz w:val="22"/>
          <w:szCs w:val="22"/>
        </w:rPr>
        <w:fldChar w:fldCharType="begin"/>
      </w:r>
      <w:r>
        <w:rPr>
          <w:i/>
          <w:sz w:val="22"/>
          <w:szCs w:val="22"/>
        </w:rPr>
        <w:instrText xml:space="preserve"> SEQ Figure \* ARABIC </w:instrText>
      </w:r>
      <w:r>
        <w:rPr>
          <w:i/>
          <w:sz w:val="22"/>
          <w:szCs w:val="22"/>
        </w:rPr>
        <w:fldChar w:fldCharType="separate"/>
      </w:r>
      <w:r>
        <w:rPr>
          <w:i/>
          <w:noProof/>
          <w:sz w:val="22"/>
          <w:szCs w:val="22"/>
        </w:rPr>
        <w:t>2</w:t>
      </w:r>
      <w:r>
        <w:rPr>
          <w:i/>
          <w:sz w:val="22"/>
          <w:szCs w:val="22"/>
        </w:rPr>
        <w:fldChar w:fldCharType="end"/>
      </w:r>
      <w:r>
        <w:rPr>
          <w:i/>
          <w:sz w:val="22"/>
          <w:szCs w:val="22"/>
        </w:rPr>
        <w:t xml:space="preserve"> - Existing and proposed zoning of subject lands </w:t>
      </w:r>
      <w:r>
        <w:rPr>
          <w:i/>
          <w:sz w:val="18"/>
          <w:szCs w:val="18"/>
        </w:rPr>
        <w:t xml:space="preserve">(extract from planning proposal. </w:t>
      </w:r>
    </w:p>
    <w:p w14:paraId="0B5FF465" w14:textId="2AAAD4A0" w:rsidR="00A94B21" w:rsidRDefault="00A94B21" w:rsidP="00A94B21">
      <w:pPr>
        <w:tabs>
          <w:tab w:val="left" w:pos="2520"/>
        </w:tabs>
        <w:rPr>
          <w:i/>
          <w:sz w:val="18"/>
          <w:szCs w:val="18"/>
        </w:rPr>
      </w:pPr>
      <w:r>
        <w:rPr>
          <w:i/>
          <w:sz w:val="18"/>
          <w:szCs w:val="18"/>
        </w:rPr>
        <w:t>NB. Council has extracted the Proposed zoning map from the Wagga Wagga SAP Discussion Paper)</w:t>
      </w:r>
    </w:p>
    <w:p w14:paraId="76ABCFF2" w14:textId="77777777" w:rsidR="001D1590" w:rsidRDefault="001D1590" w:rsidP="00A94B21">
      <w:pPr>
        <w:tabs>
          <w:tab w:val="left" w:pos="2520"/>
        </w:tabs>
        <w:rPr>
          <w:i/>
          <w:sz w:val="18"/>
          <w:szCs w:val="18"/>
        </w:rPr>
      </w:pPr>
    </w:p>
    <w:p w14:paraId="7B2F8BC6" w14:textId="323270A8" w:rsidR="00A94B21" w:rsidRDefault="00A94B21" w:rsidP="00A94B21">
      <w:pPr>
        <w:pStyle w:val="Caption"/>
        <w:keepNext/>
        <w:rPr>
          <w:rFonts w:cs="Arial"/>
          <w:b/>
          <w:color w:val="auto"/>
          <w:sz w:val="22"/>
          <w:szCs w:val="22"/>
        </w:rPr>
      </w:pPr>
      <w:r>
        <w:rPr>
          <w:noProof/>
          <w:color w:val="auto"/>
          <w:sz w:val="22"/>
          <w:szCs w:val="22"/>
        </w:rPr>
        <w:drawing>
          <wp:inline distT="0" distB="0" distL="0" distR="0" wp14:anchorId="550561ED" wp14:editId="4614EC54">
            <wp:extent cx="5080000" cy="3639887"/>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652" cy="3732068"/>
                    </a:xfrm>
                    <a:prstGeom prst="rect">
                      <a:avLst/>
                    </a:prstGeom>
                    <a:noFill/>
                    <a:ln>
                      <a:noFill/>
                    </a:ln>
                  </pic:spPr>
                </pic:pic>
              </a:graphicData>
            </a:graphic>
          </wp:inline>
        </w:drawing>
      </w:r>
    </w:p>
    <w:p w14:paraId="6A1216E6" w14:textId="77777777" w:rsidR="00A94B21" w:rsidRDefault="00A94B21" w:rsidP="00A94B21">
      <w:pPr>
        <w:tabs>
          <w:tab w:val="left" w:pos="2520"/>
        </w:tabs>
        <w:rPr>
          <w:rFonts w:cs="Arial"/>
          <w:b/>
          <w:sz w:val="22"/>
          <w:szCs w:val="22"/>
        </w:rPr>
      </w:pPr>
    </w:p>
    <w:p w14:paraId="53056C04" w14:textId="55BFC5C7" w:rsidR="00A94B21" w:rsidRDefault="00A94B21" w:rsidP="00A94B21">
      <w:pPr>
        <w:tabs>
          <w:tab w:val="left" w:pos="2520"/>
        </w:tabs>
        <w:spacing w:after="120"/>
        <w:rPr>
          <w:rFonts w:cs="Arial"/>
          <w:sz w:val="22"/>
          <w:szCs w:val="22"/>
        </w:rPr>
      </w:pPr>
      <w:r>
        <w:rPr>
          <w:rFonts w:cs="Arial"/>
          <w:sz w:val="22"/>
          <w:szCs w:val="22"/>
        </w:rPr>
        <w:lastRenderedPageBreak/>
        <w:t>The subject lands have minimum lot sizes of 1ha (</w:t>
      </w:r>
      <w:r w:rsidR="00475A5C">
        <w:rPr>
          <w:rFonts w:cs="Arial"/>
          <w:sz w:val="22"/>
          <w:szCs w:val="22"/>
        </w:rPr>
        <w:t>Cartwrights</w:t>
      </w:r>
      <w:r>
        <w:rPr>
          <w:rFonts w:cs="Arial"/>
          <w:sz w:val="22"/>
          <w:szCs w:val="22"/>
        </w:rPr>
        <w:t xml:space="preserve"> Hill) and 2ha (</w:t>
      </w:r>
      <w:r w:rsidR="00A04F94">
        <w:rPr>
          <w:rFonts w:cs="Arial"/>
          <w:sz w:val="22"/>
          <w:szCs w:val="22"/>
        </w:rPr>
        <w:t>North Wagga Wagga</w:t>
      </w:r>
      <w:r>
        <w:rPr>
          <w:rFonts w:cs="Arial"/>
          <w:sz w:val="22"/>
          <w:szCs w:val="22"/>
        </w:rPr>
        <w:t>) (See Figure 3 below).</w:t>
      </w:r>
    </w:p>
    <w:p w14:paraId="120DB5F7" w14:textId="77777777" w:rsidR="00A94B21" w:rsidRDefault="00A94B21" w:rsidP="00A94B21">
      <w:pPr>
        <w:tabs>
          <w:tab w:val="left" w:pos="2520"/>
        </w:tabs>
        <w:rPr>
          <w:i/>
          <w:sz w:val="22"/>
          <w:szCs w:val="22"/>
        </w:rPr>
      </w:pPr>
      <w:r>
        <w:rPr>
          <w:i/>
          <w:sz w:val="22"/>
          <w:szCs w:val="22"/>
        </w:rPr>
        <w:t xml:space="preserve">Figure </w:t>
      </w:r>
      <w:r>
        <w:rPr>
          <w:i/>
          <w:sz w:val="22"/>
          <w:szCs w:val="22"/>
        </w:rPr>
        <w:fldChar w:fldCharType="begin"/>
      </w:r>
      <w:r>
        <w:rPr>
          <w:i/>
          <w:sz w:val="22"/>
          <w:szCs w:val="22"/>
        </w:rPr>
        <w:instrText xml:space="preserve"> SEQ Figure \* ARABIC </w:instrText>
      </w:r>
      <w:r>
        <w:rPr>
          <w:i/>
          <w:sz w:val="22"/>
          <w:szCs w:val="22"/>
        </w:rPr>
        <w:fldChar w:fldCharType="separate"/>
      </w:r>
      <w:r>
        <w:rPr>
          <w:i/>
          <w:noProof/>
          <w:sz w:val="22"/>
          <w:szCs w:val="22"/>
        </w:rPr>
        <w:t>3</w:t>
      </w:r>
      <w:r>
        <w:rPr>
          <w:i/>
          <w:sz w:val="22"/>
          <w:szCs w:val="22"/>
        </w:rPr>
        <w:fldChar w:fldCharType="end"/>
      </w:r>
      <w:r>
        <w:rPr>
          <w:i/>
          <w:sz w:val="22"/>
          <w:szCs w:val="22"/>
        </w:rPr>
        <w:t xml:space="preserve"> - Existing and proposed minimum lot sizes of subject lands </w:t>
      </w:r>
    </w:p>
    <w:p w14:paraId="330A7669" w14:textId="77777777" w:rsidR="00A94B21" w:rsidRDefault="00A94B21" w:rsidP="00A94B21">
      <w:pPr>
        <w:tabs>
          <w:tab w:val="left" w:pos="2520"/>
        </w:tabs>
        <w:rPr>
          <w:i/>
          <w:sz w:val="18"/>
          <w:szCs w:val="18"/>
        </w:rPr>
      </w:pPr>
      <w:r>
        <w:rPr>
          <w:i/>
          <w:sz w:val="18"/>
          <w:szCs w:val="18"/>
        </w:rPr>
        <w:t>(extract from planning proposal)</w:t>
      </w:r>
    </w:p>
    <w:p w14:paraId="336D5E08" w14:textId="6C16E5D5" w:rsidR="00A94B21" w:rsidRDefault="00A94B21" w:rsidP="00A94B21">
      <w:pPr>
        <w:tabs>
          <w:tab w:val="left" w:pos="2520"/>
        </w:tabs>
        <w:rPr>
          <w:rFonts w:cs="Arial"/>
          <w:b/>
          <w:sz w:val="22"/>
          <w:szCs w:val="22"/>
        </w:rPr>
      </w:pPr>
      <w:r>
        <w:rPr>
          <w:noProof/>
        </w:rPr>
        <w:drawing>
          <wp:inline distT="0" distB="0" distL="0" distR="0" wp14:anchorId="4A8AA2CE" wp14:editId="3440AE02">
            <wp:extent cx="4412974" cy="3228833"/>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1747" cy="3264518"/>
                    </a:xfrm>
                    <a:prstGeom prst="rect">
                      <a:avLst/>
                    </a:prstGeom>
                    <a:noFill/>
                    <a:ln>
                      <a:noFill/>
                    </a:ln>
                  </pic:spPr>
                </pic:pic>
              </a:graphicData>
            </a:graphic>
          </wp:inline>
        </w:drawing>
      </w:r>
    </w:p>
    <w:p w14:paraId="7810E87A" w14:textId="77777777" w:rsidR="00AA72C5" w:rsidRDefault="00AA72C5" w:rsidP="00A94B21">
      <w:pPr>
        <w:tabs>
          <w:tab w:val="left" w:pos="2520"/>
        </w:tabs>
        <w:rPr>
          <w:rFonts w:cs="Arial"/>
          <w:b/>
          <w:sz w:val="22"/>
          <w:szCs w:val="22"/>
        </w:rPr>
      </w:pPr>
    </w:p>
    <w:p w14:paraId="05BD221D" w14:textId="6F645B56" w:rsidR="00A94B21" w:rsidRDefault="00A94B21" w:rsidP="00A94B21">
      <w:pPr>
        <w:tabs>
          <w:tab w:val="left" w:pos="2520"/>
        </w:tabs>
        <w:rPr>
          <w:rFonts w:cs="Arial"/>
          <w:b/>
          <w:sz w:val="22"/>
          <w:szCs w:val="22"/>
        </w:rPr>
      </w:pPr>
      <w:r>
        <w:rPr>
          <w:rFonts w:cs="Arial"/>
          <w:b/>
          <w:sz w:val="22"/>
          <w:szCs w:val="22"/>
        </w:rPr>
        <w:t>1.4 Surrounding area</w:t>
      </w:r>
    </w:p>
    <w:p w14:paraId="0AA4FB8E" w14:textId="00C03588" w:rsidR="00A94B21" w:rsidRDefault="00A94B21" w:rsidP="00A94B21">
      <w:pPr>
        <w:spacing w:after="120"/>
        <w:rPr>
          <w:sz w:val="22"/>
          <w:szCs w:val="18"/>
        </w:rPr>
      </w:pPr>
      <w:r w:rsidRPr="00A94B21">
        <w:rPr>
          <w:sz w:val="22"/>
          <w:szCs w:val="18"/>
        </w:rPr>
        <w:t>The subject land consists of two precincts (</w:t>
      </w:r>
      <w:r w:rsidR="00475A5C">
        <w:rPr>
          <w:sz w:val="22"/>
          <w:szCs w:val="18"/>
        </w:rPr>
        <w:t>Cartwrights</w:t>
      </w:r>
      <w:r w:rsidRPr="00A94B21">
        <w:rPr>
          <w:sz w:val="22"/>
          <w:szCs w:val="18"/>
        </w:rPr>
        <w:t xml:space="preserve"> Hill and </w:t>
      </w:r>
      <w:r w:rsidR="00A04F94">
        <w:rPr>
          <w:sz w:val="22"/>
          <w:szCs w:val="18"/>
        </w:rPr>
        <w:t>North Wagga Wagga</w:t>
      </w:r>
      <w:r w:rsidRPr="00A94B21">
        <w:rPr>
          <w:sz w:val="22"/>
          <w:szCs w:val="18"/>
        </w:rPr>
        <w:t>) – both are bounded by the Wagga Wagga Special Activation Precinct (SAP) to the north and east of each site. Both precincts are bounded on the remaining sides by rural floodplain (subject to high flood risk)</w:t>
      </w:r>
      <w:r w:rsidR="00025772">
        <w:rPr>
          <w:sz w:val="22"/>
          <w:szCs w:val="18"/>
        </w:rPr>
        <w:t>, as identified in Figure 4 below)</w:t>
      </w:r>
      <w:r w:rsidRPr="00A94B21">
        <w:rPr>
          <w:sz w:val="22"/>
          <w:szCs w:val="18"/>
        </w:rPr>
        <w:t>. The floodplain area is zoned RU1 with a 200ha lot size and is predominately use</w:t>
      </w:r>
      <w:r w:rsidR="00DE2B43">
        <w:rPr>
          <w:sz w:val="22"/>
          <w:szCs w:val="18"/>
        </w:rPr>
        <w:t>d</w:t>
      </w:r>
      <w:r w:rsidRPr="00A94B21">
        <w:rPr>
          <w:sz w:val="22"/>
          <w:szCs w:val="18"/>
        </w:rPr>
        <w:t xml:space="preserve"> for agricultural purposes.</w:t>
      </w:r>
    </w:p>
    <w:p w14:paraId="3D7D5B42" w14:textId="2854DF5E" w:rsidR="00025772" w:rsidRPr="0017524A" w:rsidRDefault="00025772" w:rsidP="00A94B21">
      <w:pPr>
        <w:spacing w:after="120"/>
        <w:rPr>
          <w:i/>
          <w:iCs/>
          <w:sz w:val="22"/>
          <w:szCs w:val="18"/>
        </w:rPr>
      </w:pPr>
      <w:r w:rsidRPr="0017524A">
        <w:rPr>
          <w:i/>
          <w:iCs/>
          <w:sz w:val="22"/>
          <w:szCs w:val="22"/>
        </w:rPr>
        <w:t xml:space="preserve">Figure </w:t>
      </w:r>
      <w:r w:rsidRPr="0017524A">
        <w:rPr>
          <w:i/>
          <w:iCs/>
          <w:sz w:val="22"/>
          <w:szCs w:val="22"/>
        </w:rPr>
        <w:fldChar w:fldCharType="begin"/>
      </w:r>
      <w:r w:rsidRPr="0017524A">
        <w:rPr>
          <w:i/>
          <w:iCs/>
          <w:sz w:val="22"/>
          <w:szCs w:val="22"/>
        </w:rPr>
        <w:instrText xml:space="preserve"> SEQ Figure \* ARABIC </w:instrText>
      </w:r>
      <w:r w:rsidRPr="0017524A">
        <w:rPr>
          <w:i/>
          <w:iCs/>
          <w:sz w:val="22"/>
          <w:szCs w:val="22"/>
        </w:rPr>
        <w:fldChar w:fldCharType="separate"/>
      </w:r>
      <w:r w:rsidRPr="0017524A">
        <w:rPr>
          <w:i/>
          <w:iCs/>
          <w:noProof/>
          <w:sz w:val="22"/>
          <w:szCs w:val="22"/>
        </w:rPr>
        <w:t>4</w:t>
      </w:r>
      <w:r w:rsidRPr="0017524A">
        <w:rPr>
          <w:i/>
          <w:iCs/>
          <w:sz w:val="22"/>
          <w:szCs w:val="22"/>
        </w:rPr>
        <w:fldChar w:fldCharType="end"/>
      </w:r>
      <w:r w:rsidRPr="0017524A">
        <w:rPr>
          <w:i/>
          <w:iCs/>
          <w:sz w:val="22"/>
          <w:szCs w:val="22"/>
        </w:rPr>
        <w:t xml:space="preserve"> </w:t>
      </w:r>
      <w:r>
        <w:rPr>
          <w:i/>
          <w:iCs/>
          <w:sz w:val="22"/>
          <w:szCs w:val="22"/>
        </w:rPr>
        <w:t>–</w:t>
      </w:r>
      <w:r w:rsidRPr="0017524A">
        <w:rPr>
          <w:i/>
          <w:iCs/>
          <w:sz w:val="22"/>
          <w:szCs w:val="22"/>
        </w:rPr>
        <w:t xml:space="preserve"> </w:t>
      </w:r>
      <w:r>
        <w:rPr>
          <w:i/>
          <w:iCs/>
          <w:sz w:val="22"/>
          <w:szCs w:val="22"/>
        </w:rPr>
        <w:t>Flood risk precinct – Wagga Wagga Floodplain risk management plan</w:t>
      </w:r>
    </w:p>
    <w:p w14:paraId="601A29B9" w14:textId="552388F5" w:rsidR="00025772" w:rsidRPr="00A94B21" w:rsidRDefault="00025772" w:rsidP="00A94B21">
      <w:pPr>
        <w:spacing w:after="120"/>
        <w:rPr>
          <w:rFonts w:cs="Arial"/>
          <w:sz w:val="20"/>
          <w:szCs w:val="18"/>
        </w:rPr>
      </w:pPr>
      <w:r>
        <w:rPr>
          <w:noProof/>
        </w:rPr>
        <mc:AlternateContent>
          <mc:Choice Requires="wps">
            <w:drawing>
              <wp:anchor distT="0" distB="0" distL="114300" distR="114300" simplePos="0" relativeHeight="251664384" behindDoc="0" locked="0" layoutInCell="1" allowOverlap="1" wp14:anchorId="069CDFC2" wp14:editId="146E5A5F">
                <wp:simplePos x="0" y="0"/>
                <wp:positionH relativeFrom="column">
                  <wp:posOffset>2369489</wp:posOffset>
                </wp:positionH>
                <wp:positionV relativeFrom="paragraph">
                  <wp:posOffset>3010783</wp:posOffset>
                </wp:positionV>
                <wp:extent cx="1447137" cy="349858"/>
                <wp:effectExtent l="0" t="0" r="20320" b="12700"/>
                <wp:wrapNone/>
                <wp:docPr id="14" name="Text Box 14"/>
                <wp:cNvGraphicFramePr/>
                <a:graphic xmlns:a="http://schemas.openxmlformats.org/drawingml/2006/main">
                  <a:graphicData uri="http://schemas.microsoft.com/office/word/2010/wordprocessingShape">
                    <wps:wsp>
                      <wps:cNvSpPr txBox="1"/>
                      <wps:spPr>
                        <a:xfrm>
                          <a:off x="0" y="0"/>
                          <a:ext cx="1447137" cy="349858"/>
                        </a:xfrm>
                        <a:prstGeom prst="rect">
                          <a:avLst/>
                        </a:prstGeom>
                        <a:solidFill>
                          <a:schemeClr val="lt1"/>
                        </a:solidFill>
                        <a:ln w="6350">
                          <a:solidFill>
                            <a:prstClr val="black"/>
                          </a:solidFill>
                        </a:ln>
                      </wps:spPr>
                      <wps:txbx>
                        <w:txbxContent>
                          <w:p w14:paraId="560D3D16" w14:textId="71703F68" w:rsidR="00025772" w:rsidRPr="0017524A" w:rsidRDefault="00025772">
                            <w:pPr>
                              <w:rPr>
                                <w:sz w:val="20"/>
                                <w:szCs w:val="16"/>
                              </w:rPr>
                            </w:pPr>
                            <w:r w:rsidRPr="0017524A">
                              <w:rPr>
                                <w:sz w:val="20"/>
                                <w:szCs w:val="16"/>
                              </w:rPr>
                              <w:t>Subject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CDFC2" id="_x0000_t202" coordsize="21600,21600" o:spt="202" path="m,l,21600r21600,l21600,xe">
                <v:stroke joinstyle="miter"/>
                <v:path gradientshapeok="t" o:connecttype="rect"/>
              </v:shapetype>
              <v:shape id="Text Box 14" o:spid="_x0000_s1026" type="#_x0000_t202" style="position:absolute;margin-left:186.55pt;margin-top:237.05pt;width:113.95pt;height: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" fillcolor="white [3201]" strokeweight=".5pt">
                <v:textbox>
                  <w:txbxContent>
                    <w:p w14:paraId="560D3D16" w14:textId="71703F68" w:rsidR="00025772" w:rsidRPr="0017524A" w:rsidRDefault="00025772">
                      <w:pPr>
                        <w:rPr>
                          <w:sz w:val="20"/>
                          <w:szCs w:val="16"/>
                        </w:rPr>
                      </w:pPr>
                      <w:r w:rsidRPr="0017524A">
                        <w:rPr>
                          <w:sz w:val="20"/>
                          <w:szCs w:val="16"/>
                        </w:rPr>
                        <w:t>Subject sites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7AADB83" wp14:editId="6B1269C8">
                <wp:simplePos x="0" y="0"/>
                <wp:positionH relativeFrom="column">
                  <wp:posOffset>3283529</wp:posOffset>
                </wp:positionH>
                <wp:positionV relativeFrom="paragraph">
                  <wp:posOffset>3074173</wp:posOffset>
                </wp:positionV>
                <wp:extent cx="429370" cy="230284"/>
                <wp:effectExtent l="0" t="0" r="27940" b="17780"/>
                <wp:wrapNone/>
                <wp:docPr id="6" name="Oval 6"/>
                <wp:cNvGraphicFramePr/>
                <a:graphic xmlns:a="http://schemas.openxmlformats.org/drawingml/2006/main">
                  <a:graphicData uri="http://schemas.microsoft.com/office/word/2010/wordprocessingShape">
                    <wps:wsp>
                      <wps:cNvSpPr/>
                      <wps:spPr>
                        <a:xfrm>
                          <a:off x="0" y="0"/>
                          <a:ext cx="429370" cy="23028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B97CC" id="Oval 6" o:spid="_x0000_s1026" style="position:absolute;margin-left:258.55pt;margin-top:242.05pt;width:33.8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" filled="f" strokecolor="yellow"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6E438E03" wp14:editId="4FBAEED1">
                <wp:simplePos x="0" y="0"/>
                <wp:positionH relativeFrom="margin">
                  <wp:align>center</wp:align>
                </wp:positionH>
                <wp:positionV relativeFrom="paragraph">
                  <wp:posOffset>594553</wp:posOffset>
                </wp:positionV>
                <wp:extent cx="604299" cy="357808"/>
                <wp:effectExtent l="0" t="57150" r="0" b="61595"/>
                <wp:wrapNone/>
                <wp:docPr id="5" name="Oval 5"/>
                <wp:cNvGraphicFramePr/>
                <a:graphic xmlns:a="http://schemas.openxmlformats.org/drawingml/2006/main">
                  <a:graphicData uri="http://schemas.microsoft.com/office/word/2010/wordprocessingShape">
                    <wps:wsp>
                      <wps:cNvSpPr/>
                      <wps:spPr>
                        <a:xfrm rot="1736274">
                          <a:off x="0" y="0"/>
                          <a:ext cx="604299" cy="357808"/>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5CC0C" id="Oval 5" o:spid="_x0000_s1026" style="position:absolute;margin-left:0;margin-top:46.8pt;width:47.6pt;height:28.15pt;rotation:1896474fd;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" filled="f" strokecolor="yellow" strokeweight="1pt">
                <v:stroke joinstyle="miter"/>
                <w10:wrap anchorx="margin"/>
              </v:oval>
            </w:pict>
          </mc:Fallback>
        </mc:AlternateContent>
      </w:r>
      <w:r>
        <w:rPr>
          <w:noProof/>
        </w:rPr>
        <mc:AlternateContent>
          <mc:Choice Requires="wps">
            <w:drawing>
              <wp:anchor distT="0" distB="0" distL="114300" distR="114300" simplePos="0" relativeHeight="251659264" behindDoc="0" locked="0" layoutInCell="1" allowOverlap="1" wp14:anchorId="49567D07" wp14:editId="408D48B1">
                <wp:simplePos x="0" y="0"/>
                <wp:positionH relativeFrom="column">
                  <wp:posOffset>2838533</wp:posOffset>
                </wp:positionH>
                <wp:positionV relativeFrom="paragraph">
                  <wp:posOffset>1062272</wp:posOffset>
                </wp:positionV>
                <wp:extent cx="604299" cy="357808"/>
                <wp:effectExtent l="0" t="0" r="24765" b="23495"/>
                <wp:wrapNone/>
                <wp:docPr id="4" name="Oval 4"/>
                <wp:cNvGraphicFramePr/>
                <a:graphic xmlns:a="http://schemas.openxmlformats.org/drawingml/2006/main">
                  <a:graphicData uri="http://schemas.microsoft.com/office/word/2010/wordprocessingShape">
                    <wps:wsp>
                      <wps:cNvSpPr/>
                      <wps:spPr>
                        <a:xfrm>
                          <a:off x="0" y="0"/>
                          <a:ext cx="604299" cy="357808"/>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2239C" id="Oval 4" o:spid="_x0000_s1026" style="position:absolute;margin-left:223.5pt;margin-top:83.65pt;width:47.6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" filled="f" strokecolor="yellow" strokeweight="1pt">
                <v:stroke joinstyle="miter"/>
              </v:oval>
            </w:pict>
          </mc:Fallback>
        </mc:AlternateContent>
      </w:r>
      <w:r>
        <w:rPr>
          <w:noProof/>
        </w:rPr>
        <w:drawing>
          <wp:inline distT="0" distB="0" distL="0" distR="0" wp14:anchorId="1E0B8EF4" wp14:editId="3744C775">
            <wp:extent cx="5088835" cy="358124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8835" cy="3581241"/>
                    </a:xfrm>
                    <a:prstGeom prst="rect">
                      <a:avLst/>
                    </a:prstGeom>
                  </pic:spPr>
                </pic:pic>
              </a:graphicData>
            </a:graphic>
          </wp:inline>
        </w:drawing>
      </w:r>
    </w:p>
    <w:p w14:paraId="776661AB" w14:textId="77777777" w:rsidR="00A04F94" w:rsidRDefault="00A94B21" w:rsidP="00A04F94">
      <w:pPr>
        <w:tabs>
          <w:tab w:val="left" w:pos="2520"/>
        </w:tabs>
        <w:spacing w:after="120"/>
        <w:rPr>
          <w:rFonts w:cs="Arial"/>
          <w:sz w:val="22"/>
          <w:szCs w:val="22"/>
        </w:rPr>
      </w:pPr>
      <w:r>
        <w:rPr>
          <w:rFonts w:cs="Arial"/>
          <w:sz w:val="22"/>
          <w:szCs w:val="22"/>
        </w:rPr>
        <w:lastRenderedPageBreak/>
        <w:t xml:space="preserve">The subject land is north east of the City of Wagga Wagga and the Murrumbidgee River. To the north and east of the subject lands is the area known as the </w:t>
      </w:r>
      <w:proofErr w:type="spellStart"/>
      <w:r>
        <w:rPr>
          <w:rFonts w:cs="Arial"/>
          <w:sz w:val="22"/>
          <w:szCs w:val="22"/>
        </w:rPr>
        <w:t>Bomen</w:t>
      </w:r>
      <w:proofErr w:type="spellEnd"/>
      <w:r>
        <w:rPr>
          <w:rFonts w:cs="Arial"/>
          <w:sz w:val="22"/>
          <w:szCs w:val="22"/>
        </w:rPr>
        <w:t xml:space="preserve"> Business Park (now renamed to the Wagga Wagga SAP). </w:t>
      </w:r>
      <w:r w:rsidR="00A04F94">
        <w:rPr>
          <w:rFonts w:cs="Arial"/>
          <w:sz w:val="22"/>
          <w:szCs w:val="22"/>
        </w:rPr>
        <w:t xml:space="preserve">The Wagga Wagga Special Activation Precinct (SAP) is an important economic growth area, supported by the NSW Government, which aims to reduce the cost and time of obtaining development consent for suitable businesses in the precinct (see Figure 5). </w:t>
      </w:r>
    </w:p>
    <w:p w14:paraId="7C49941C" w14:textId="77777777" w:rsidR="00A94B21" w:rsidRDefault="00A94B21" w:rsidP="00A94B21">
      <w:pPr>
        <w:tabs>
          <w:tab w:val="left" w:pos="2520"/>
        </w:tabs>
        <w:spacing w:after="120"/>
        <w:rPr>
          <w:rFonts w:cs="Arial"/>
          <w:sz w:val="22"/>
          <w:szCs w:val="22"/>
        </w:rPr>
      </w:pPr>
      <w:r>
        <w:rPr>
          <w:rFonts w:cs="Arial"/>
          <w:sz w:val="22"/>
          <w:szCs w:val="22"/>
        </w:rPr>
        <w:t xml:space="preserve">This area has been earmarked for significant industrial development for many decades. The business park already has significant industrial land uses near the subject lands, including a large abattoir and packaging plant owned by </w:t>
      </w:r>
      <w:proofErr w:type="spellStart"/>
      <w:r>
        <w:rPr>
          <w:rFonts w:cs="Arial"/>
          <w:sz w:val="22"/>
          <w:szCs w:val="22"/>
        </w:rPr>
        <w:t>Teys</w:t>
      </w:r>
      <w:proofErr w:type="spellEnd"/>
      <w:r>
        <w:rPr>
          <w:rFonts w:cs="Arial"/>
          <w:sz w:val="22"/>
          <w:szCs w:val="22"/>
        </w:rPr>
        <w:t>, the second-largest meat-processor and exporter in Australia.</w:t>
      </w:r>
    </w:p>
    <w:p w14:paraId="2DC3E451" w14:textId="7E4E5D44" w:rsidR="00A94B21" w:rsidRDefault="00A94B21" w:rsidP="00A94B21">
      <w:pPr>
        <w:tabs>
          <w:tab w:val="left" w:pos="2520"/>
        </w:tabs>
        <w:spacing w:after="120"/>
        <w:rPr>
          <w:rFonts w:cs="Arial"/>
          <w:sz w:val="22"/>
          <w:szCs w:val="22"/>
        </w:rPr>
      </w:pPr>
      <w:r>
        <w:rPr>
          <w:rFonts w:cs="Arial"/>
          <w:sz w:val="22"/>
          <w:szCs w:val="22"/>
        </w:rPr>
        <w:t xml:space="preserve">Technical studies undertaken </w:t>
      </w:r>
      <w:r w:rsidR="00A04F94">
        <w:rPr>
          <w:rFonts w:cs="Arial"/>
          <w:sz w:val="22"/>
          <w:szCs w:val="22"/>
        </w:rPr>
        <w:t xml:space="preserve">to support the </w:t>
      </w:r>
      <w:r>
        <w:rPr>
          <w:rFonts w:cs="Arial"/>
          <w:sz w:val="22"/>
          <w:szCs w:val="22"/>
        </w:rPr>
        <w:t xml:space="preserve">SAP, as well as other studies undertaken by Wagga Wagga City Council have identified areas that would be susceptible to noise and odour from the industrial area. The </w:t>
      </w:r>
      <w:r w:rsidR="00A04F94">
        <w:rPr>
          <w:rFonts w:cs="Arial"/>
          <w:sz w:val="22"/>
          <w:szCs w:val="22"/>
        </w:rPr>
        <w:t xml:space="preserve">subject </w:t>
      </w:r>
      <w:r>
        <w:rPr>
          <w:rFonts w:cs="Arial"/>
          <w:sz w:val="22"/>
          <w:szCs w:val="22"/>
        </w:rPr>
        <w:t>lands have both been identified as unsuitable for further residential development. This is discussed further in the report under section 3.</w:t>
      </w:r>
    </w:p>
    <w:p w14:paraId="52F1EE57" w14:textId="53FBF08E" w:rsidR="00A94B21" w:rsidRDefault="00A94B21" w:rsidP="00A94B21">
      <w:pPr>
        <w:pStyle w:val="Caption"/>
        <w:keepNext/>
        <w:spacing w:after="0"/>
        <w:rPr>
          <w:color w:val="auto"/>
        </w:rPr>
      </w:pPr>
      <w:r>
        <w:rPr>
          <w:color w:val="auto"/>
          <w:sz w:val="22"/>
          <w:szCs w:val="22"/>
        </w:rPr>
        <w:t>Figure</w:t>
      </w:r>
      <w:r w:rsidR="00025772">
        <w:rPr>
          <w:color w:val="auto"/>
          <w:sz w:val="22"/>
          <w:szCs w:val="22"/>
        </w:rPr>
        <w:t xml:space="preserve"> 5 </w:t>
      </w:r>
      <w:r>
        <w:rPr>
          <w:color w:val="auto"/>
          <w:sz w:val="22"/>
          <w:szCs w:val="22"/>
        </w:rPr>
        <w:t xml:space="preserve">- Wagga Wagga Special Activation Precinct boundary </w:t>
      </w:r>
      <w:r>
        <w:rPr>
          <w:color w:val="auto"/>
        </w:rPr>
        <w:t>(extract from planning proposal)</w:t>
      </w:r>
    </w:p>
    <w:p w14:paraId="26515E64" w14:textId="0112C93E" w:rsidR="00A94B21" w:rsidRDefault="00A94B21" w:rsidP="00A94B21">
      <w:pPr>
        <w:tabs>
          <w:tab w:val="left" w:pos="2520"/>
        </w:tabs>
        <w:spacing w:after="120"/>
        <w:rPr>
          <w:rFonts w:cs="Arial"/>
          <w:sz w:val="22"/>
          <w:szCs w:val="22"/>
        </w:rPr>
      </w:pPr>
      <w:r>
        <w:rPr>
          <w:noProof/>
        </w:rPr>
        <w:drawing>
          <wp:inline distT="0" distB="0" distL="0" distR="0" wp14:anchorId="43948D48" wp14:editId="53F9951F">
            <wp:extent cx="4372351" cy="317257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8345" cy="3176919"/>
                    </a:xfrm>
                    <a:prstGeom prst="rect">
                      <a:avLst/>
                    </a:prstGeom>
                    <a:noFill/>
                    <a:ln>
                      <a:noFill/>
                    </a:ln>
                  </pic:spPr>
                </pic:pic>
              </a:graphicData>
            </a:graphic>
          </wp:inline>
        </w:drawing>
      </w:r>
    </w:p>
    <w:p w14:paraId="1A9EF38E" w14:textId="77777777" w:rsidR="00A94B21" w:rsidRDefault="00A94B21" w:rsidP="00A94B21">
      <w:pPr>
        <w:tabs>
          <w:tab w:val="left" w:pos="2520"/>
        </w:tabs>
        <w:rPr>
          <w:rFonts w:cs="Arial"/>
          <w:b/>
          <w:sz w:val="22"/>
          <w:szCs w:val="22"/>
        </w:rPr>
      </w:pPr>
      <w:r>
        <w:rPr>
          <w:rFonts w:cs="Arial"/>
          <w:b/>
          <w:sz w:val="22"/>
          <w:szCs w:val="22"/>
        </w:rPr>
        <w:t>1.5 Summary of recommendation</w:t>
      </w:r>
    </w:p>
    <w:p w14:paraId="5EF23E2A" w14:textId="77777777" w:rsidR="00A94B21" w:rsidRDefault="00A94B21" w:rsidP="00A94B21">
      <w:pPr>
        <w:tabs>
          <w:tab w:val="left" w:pos="2520"/>
        </w:tabs>
        <w:spacing w:after="120"/>
        <w:rPr>
          <w:rFonts w:cs="Arial"/>
          <w:sz w:val="22"/>
          <w:szCs w:val="22"/>
        </w:rPr>
      </w:pPr>
      <w:r>
        <w:rPr>
          <w:rFonts w:cs="Arial"/>
          <w:i/>
          <w:sz w:val="22"/>
          <w:szCs w:val="22"/>
        </w:rPr>
        <w:t>Proceed with condition</w:t>
      </w:r>
    </w:p>
    <w:p w14:paraId="0E47B836" w14:textId="77777777" w:rsidR="00A94B21" w:rsidRDefault="00A94B21" w:rsidP="00A94B21">
      <w:pPr>
        <w:tabs>
          <w:tab w:val="left" w:pos="2520"/>
        </w:tabs>
        <w:spacing w:after="120"/>
        <w:rPr>
          <w:rFonts w:cs="Arial"/>
          <w:sz w:val="22"/>
          <w:szCs w:val="22"/>
        </w:rPr>
      </w:pPr>
      <w:r>
        <w:rPr>
          <w:rFonts w:cs="Arial"/>
          <w:sz w:val="22"/>
          <w:szCs w:val="22"/>
        </w:rPr>
        <w:t xml:space="preserve">The proposal to protect lands adjoining the SAP boundary from further residential development is supported, including the proposed zoning and minimum lot size changes. </w:t>
      </w:r>
    </w:p>
    <w:p w14:paraId="7072B91F" w14:textId="1CB116D0" w:rsidR="00A94B21" w:rsidRDefault="00A94B21" w:rsidP="00A94B21">
      <w:pPr>
        <w:tabs>
          <w:tab w:val="left" w:pos="2520"/>
        </w:tabs>
        <w:spacing w:after="120"/>
        <w:rPr>
          <w:rFonts w:cs="Arial"/>
          <w:b/>
          <w:sz w:val="22"/>
          <w:szCs w:val="22"/>
        </w:rPr>
      </w:pPr>
      <w:r>
        <w:rPr>
          <w:rFonts w:cs="Arial"/>
          <w:sz w:val="22"/>
          <w:szCs w:val="22"/>
        </w:rPr>
        <w:t>However, it is recommended that part Lot 101 DP1095889, Byrnes Road, located inside the area impacted by the planning proposal, have a minimum lot size applied of 4ha. This is to allow the remainder of the lot outside the subject land boundary to be subdivided in accordance with its zoning and lot size provisions. A</w:t>
      </w:r>
      <w:r w:rsidR="00897DFD">
        <w:rPr>
          <w:rFonts w:cs="Arial"/>
          <w:sz w:val="22"/>
          <w:szCs w:val="22"/>
        </w:rPr>
        <w:t xml:space="preserve">n </w:t>
      </w:r>
      <w:r>
        <w:rPr>
          <w:rFonts w:cs="Arial"/>
          <w:sz w:val="22"/>
          <w:szCs w:val="22"/>
        </w:rPr>
        <w:t>assessment is provided at section 5.1 of this report.</w:t>
      </w:r>
    </w:p>
    <w:p w14:paraId="7C34BB5E" w14:textId="77777777" w:rsidR="00A94B21" w:rsidRDefault="00A94B21" w:rsidP="00A94B21">
      <w:pPr>
        <w:pBdr>
          <w:bottom w:val="single" w:sz="4" w:space="1" w:color="auto"/>
        </w:pBdr>
        <w:tabs>
          <w:tab w:val="left" w:pos="2520"/>
        </w:tabs>
        <w:spacing w:before="240" w:after="120"/>
        <w:rPr>
          <w:rFonts w:cs="Arial"/>
          <w:b/>
          <w:sz w:val="22"/>
          <w:szCs w:val="22"/>
        </w:rPr>
      </w:pPr>
      <w:r>
        <w:rPr>
          <w:rFonts w:cs="Arial"/>
          <w:b/>
          <w:sz w:val="22"/>
          <w:szCs w:val="22"/>
        </w:rPr>
        <w:t xml:space="preserve">2. PROPOSAL </w:t>
      </w:r>
    </w:p>
    <w:p w14:paraId="0E04EE93" w14:textId="77777777" w:rsidR="00A94B21" w:rsidRDefault="00A94B21" w:rsidP="00A94B21">
      <w:pPr>
        <w:tabs>
          <w:tab w:val="left" w:pos="2520"/>
        </w:tabs>
        <w:spacing w:before="120"/>
        <w:rPr>
          <w:rFonts w:cs="Arial"/>
          <w:b/>
          <w:sz w:val="22"/>
          <w:szCs w:val="22"/>
        </w:rPr>
      </w:pPr>
      <w:r>
        <w:rPr>
          <w:rFonts w:cs="Arial"/>
          <w:b/>
          <w:sz w:val="22"/>
          <w:szCs w:val="22"/>
        </w:rPr>
        <w:t>2.1 Objectives or intended outcomes</w:t>
      </w:r>
    </w:p>
    <w:p w14:paraId="6E4146C1" w14:textId="77777777" w:rsidR="00A94B21" w:rsidRDefault="00A94B21" w:rsidP="00A94B21">
      <w:pPr>
        <w:tabs>
          <w:tab w:val="left" w:pos="2520"/>
        </w:tabs>
        <w:spacing w:after="120"/>
        <w:rPr>
          <w:rFonts w:cs="Arial"/>
          <w:sz w:val="22"/>
          <w:szCs w:val="22"/>
        </w:rPr>
      </w:pPr>
      <w:r>
        <w:rPr>
          <w:rFonts w:cs="Arial"/>
          <w:sz w:val="22"/>
          <w:szCs w:val="22"/>
        </w:rPr>
        <w:t>The objectives of the proposal are clear and do not require amendment prior to community consultation. The planning proposal states the objectives as:</w:t>
      </w:r>
    </w:p>
    <w:p w14:paraId="594453A5" w14:textId="77777777" w:rsidR="00A94B21" w:rsidRDefault="00A94B21" w:rsidP="00A94B21">
      <w:pPr>
        <w:pStyle w:val="Default"/>
        <w:spacing w:after="60"/>
        <w:ind w:left="720"/>
        <w:rPr>
          <w:rFonts w:ascii="Arial" w:hAnsi="Arial" w:cs="Arial"/>
          <w:i/>
          <w:color w:val="auto"/>
          <w:sz w:val="22"/>
          <w:szCs w:val="22"/>
        </w:rPr>
      </w:pPr>
      <w:r>
        <w:rPr>
          <w:rFonts w:ascii="Arial" w:hAnsi="Arial" w:cs="Arial"/>
          <w:i/>
          <w:color w:val="auto"/>
          <w:sz w:val="22"/>
          <w:szCs w:val="22"/>
        </w:rPr>
        <w:t xml:space="preserve">The objective of the planning proposal is to eliminate opportunities for additional residential development at the periphery of the Wagga Wagga Special Activation </w:t>
      </w:r>
      <w:r>
        <w:rPr>
          <w:rFonts w:ascii="Arial" w:hAnsi="Arial" w:cs="Arial"/>
          <w:i/>
          <w:color w:val="auto"/>
          <w:sz w:val="22"/>
          <w:szCs w:val="22"/>
        </w:rPr>
        <w:lastRenderedPageBreak/>
        <w:t>Precinct, to avoid exacerbating any potential land use conflict at this location in future.</w:t>
      </w:r>
    </w:p>
    <w:p w14:paraId="2D49D2C2" w14:textId="77777777" w:rsidR="00A94B21" w:rsidRDefault="00A94B21" w:rsidP="00A94B21">
      <w:pPr>
        <w:pStyle w:val="Default"/>
        <w:spacing w:after="60"/>
        <w:ind w:left="720"/>
        <w:rPr>
          <w:rFonts w:ascii="Arial" w:hAnsi="Arial"/>
          <w:i/>
          <w:color w:val="auto"/>
          <w:sz w:val="22"/>
          <w:szCs w:val="22"/>
        </w:rPr>
      </w:pPr>
      <w:r>
        <w:rPr>
          <w:rFonts w:ascii="Arial" w:hAnsi="Arial"/>
          <w:i/>
          <w:color w:val="auto"/>
          <w:sz w:val="22"/>
          <w:szCs w:val="22"/>
        </w:rPr>
        <w:t xml:space="preserve">In order to support the ongoing operation and success of the strategically important Wagga Wagga Special Activation Precinct, it is proposed to amend the planning controls for the areas…to prevent further intensification of residential uses on certain sites. This will be achieved through: </w:t>
      </w:r>
    </w:p>
    <w:p w14:paraId="042732F3" w14:textId="77777777" w:rsidR="00A94B21" w:rsidRDefault="00A94B21" w:rsidP="00A94B21">
      <w:pPr>
        <w:pStyle w:val="Default"/>
        <w:spacing w:after="60"/>
        <w:ind w:left="720"/>
        <w:rPr>
          <w:rFonts w:ascii="Arial" w:hAnsi="Arial"/>
          <w:i/>
          <w:color w:val="auto"/>
          <w:sz w:val="22"/>
          <w:szCs w:val="22"/>
        </w:rPr>
      </w:pPr>
      <w:r>
        <w:rPr>
          <w:rFonts w:ascii="Arial" w:hAnsi="Arial"/>
          <w:i/>
          <w:color w:val="auto"/>
          <w:sz w:val="22"/>
          <w:szCs w:val="22"/>
        </w:rPr>
        <w:t xml:space="preserve">• ensuring that secondary dwellings will not be permissible on the subject lots; and </w:t>
      </w:r>
    </w:p>
    <w:p w14:paraId="6EDA38EA" w14:textId="77777777" w:rsidR="00A94B21" w:rsidRDefault="00A94B21" w:rsidP="00A94B21">
      <w:pPr>
        <w:pStyle w:val="Default"/>
        <w:spacing w:after="60"/>
        <w:ind w:left="720"/>
        <w:rPr>
          <w:rFonts w:ascii="Arial" w:hAnsi="Arial"/>
          <w:i/>
          <w:color w:val="auto"/>
          <w:sz w:val="22"/>
          <w:szCs w:val="22"/>
        </w:rPr>
      </w:pPr>
      <w:r>
        <w:rPr>
          <w:rFonts w:ascii="Arial" w:hAnsi="Arial"/>
          <w:i/>
          <w:color w:val="auto"/>
          <w:sz w:val="22"/>
          <w:szCs w:val="22"/>
        </w:rPr>
        <w:t xml:space="preserve">• preventing subdivision to [create] additional lots and dwellings. </w:t>
      </w:r>
    </w:p>
    <w:p w14:paraId="44C66264" w14:textId="77777777" w:rsidR="00A94B21" w:rsidRDefault="00A94B21" w:rsidP="00A94B21">
      <w:pPr>
        <w:tabs>
          <w:tab w:val="left" w:pos="2520"/>
        </w:tabs>
        <w:spacing w:after="120"/>
        <w:ind w:left="720"/>
        <w:rPr>
          <w:i/>
          <w:sz w:val="22"/>
          <w:szCs w:val="22"/>
        </w:rPr>
      </w:pPr>
      <w:r>
        <w:rPr>
          <w:i/>
          <w:sz w:val="22"/>
          <w:szCs w:val="22"/>
        </w:rPr>
        <w:t>The proposed amendments to the Wagga Wagga LEP 2010 for the subject land would maintain the rural landscape of these existing small residential clusters while preventing further intensification. The intent is to provide a balance between allowing existing residents to remain in the area whilst preventing further development for residential purposes.</w:t>
      </w:r>
    </w:p>
    <w:p w14:paraId="43A0F734" w14:textId="77777777" w:rsidR="00A94B21" w:rsidRDefault="00A94B21" w:rsidP="00A94B21">
      <w:pPr>
        <w:tabs>
          <w:tab w:val="left" w:pos="2520"/>
        </w:tabs>
        <w:spacing w:before="120"/>
        <w:rPr>
          <w:rFonts w:cs="Arial"/>
          <w:b/>
          <w:sz w:val="22"/>
          <w:szCs w:val="22"/>
        </w:rPr>
      </w:pPr>
      <w:r>
        <w:rPr>
          <w:rFonts w:cs="Arial"/>
          <w:b/>
          <w:sz w:val="22"/>
          <w:szCs w:val="22"/>
        </w:rPr>
        <w:t>2.2 Explanation of provisions</w:t>
      </w:r>
    </w:p>
    <w:p w14:paraId="11385F35" w14:textId="3E36DA20" w:rsidR="00A94B21" w:rsidRDefault="00A94B21" w:rsidP="00A94B21">
      <w:pPr>
        <w:tabs>
          <w:tab w:val="left" w:pos="2520"/>
        </w:tabs>
        <w:spacing w:after="120"/>
        <w:rPr>
          <w:rFonts w:cs="Arial"/>
          <w:sz w:val="22"/>
          <w:szCs w:val="22"/>
        </w:rPr>
      </w:pPr>
      <w:r>
        <w:rPr>
          <w:rFonts w:cs="Arial"/>
          <w:sz w:val="22"/>
          <w:szCs w:val="22"/>
        </w:rPr>
        <w:t xml:space="preserve">The subject lands are proposed to be rezoned to RU6 Transition Zone (see Figure 2, page 2) and a 200ha lot size applied (see Figure 3, page 3). The LEP amendments </w:t>
      </w:r>
      <w:r w:rsidR="00DE2B43">
        <w:rPr>
          <w:rFonts w:cs="Arial"/>
          <w:sz w:val="22"/>
          <w:szCs w:val="22"/>
        </w:rPr>
        <w:t xml:space="preserve">as proposed </w:t>
      </w:r>
      <w:r>
        <w:rPr>
          <w:rFonts w:cs="Arial"/>
          <w:sz w:val="22"/>
          <w:szCs w:val="22"/>
        </w:rPr>
        <w:t xml:space="preserve">in </w:t>
      </w:r>
      <w:r w:rsidR="00DE2B43">
        <w:rPr>
          <w:rFonts w:cs="Arial"/>
          <w:sz w:val="22"/>
          <w:szCs w:val="22"/>
        </w:rPr>
        <w:t xml:space="preserve">the </w:t>
      </w:r>
      <w:r>
        <w:rPr>
          <w:rFonts w:cs="Arial"/>
          <w:sz w:val="22"/>
          <w:szCs w:val="22"/>
        </w:rPr>
        <w:t xml:space="preserve">planning proposal are clear. However, one additional change is required prior to community consultation. </w:t>
      </w:r>
    </w:p>
    <w:p w14:paraId="3AA93B83" w14:textId="33CB12F8" w:rsidR="00A94B21" w:rsidRDefault="00A94B21" w:rsidP="00A94B21">
      <w:pPr>
        <w:tabs>
          <w:tab w:val="left" w:pos="2520"/>
        </w:tabs>
        <w:spacing w:after="120"/>
        <w:rPr>
          <w:rFonts w:cs="Arial"/>
          <w:sz w:val="22"/>
          <w:szCs w:val="22"/>
        </w:rPr>
      </w:pPr>
      <w:r>
        <w:rPr>
          <w:rFonts w:cs="Arial"/>
          <w:sz w:val="22"/>
          <w:szCs w:val="22"/>
        </w:rPr>
        <w:t>Part Lot 101 DP1095889, Byrnes Road (also known as 59 Hillary Street) is recommended in this report (see section 5.1) to have a minimum lot size applied of 4ha. This is the area of the lot within the boundary of the subject land. Reducing the lot size will enable the remainder of the lot outside the subject land boundary to be subdivided in accordance with its zoning and lot size provisions</w:t>
      </w:r>
      <w:r w:rsidR="00DE2B43">
        <w:rPr>
          <w:rFonts w:cs="Arial"/>
          <w:sz w:val="22"/>
          <w:szCs w:val="22"/>
        </w:rPr>
        <w:t xml:space="preserve"> to create </w:t>
      </w:r>
      <w:r w:rsidR="00475A5C">
        <w:rPr>
          <w:rFonts w:cs="Arial"/>
          <w:sz w:val="22"/>
          <w:szCs w:val="22"/>
        </w:rPr>
        <w:t>up to 3 additional lots</w:t>
      </w:r>
      <w:r>
        <w:rPr>
          <w:rFonts w:cs="Arial"/>
          <w:sz w:val="22"/>
          <w:szCs w:val="22"/>
        </w:rPr>
        <w:t xml:space="preserve">. </w:t>
      </w:r>
    </w:p>
    <w:p w14:paraId="095CE078" w14:textId="77777777" w:rsidR="00A94B21" w:rsidRDefault="00A94B21" w:rsidP="00A94B21">
      <w:pPr>
        <w:tabs>
          <w:tab w:val="left" w:pos="2520"/>
        </w:tabs>
        <w:spacing w:before="120"/>
        <w:rPr>
          <w:rFonts w:cs="Arial"/>
          <w:b/>
          <w:sz w:val="22"/>
          <w:szCs w:val="22"/>
        </w:rPr>
      </w:pPr>
      <w:r>
        <w:rPr>
          <w:rFonts w:cs="Arial"/>
          <w:b/>
          <w:sz w:val="22"/>
          <w:szCs w:val="22"/>
        </w:rPr>
        <w:t xml:space="preserve">2.3 Mapping </w:t>
      </w:r>
    </w:p>
    <w:p w14:paraId="4B1C00D5" w14:textId="77777777" w:rsidR="00A94B21" w:rsidRDefault="00A94B21" w:rsidP="00A94B21">
      <w:pPr>
        <w:pStyle w:val="Default"/>
        <w:rPr>
          <w:rFonts w:ascii="Arial" w:hAnsi="Arial" w:cs="Arial"/>
          <w:color w:val="auto"/>
          <w:sz w:val="22"/>
          <w:szCs w:val="22"/>
        </w:rPr>
      </w:pPr>
      <w:r>
        <w:rPr>
          <w:rFonts w:ascii="Arial" w:hAnsi="Arial" w:cs="Arial"/>
          <w:color w:val="auto"/>
          <w:sz w:val="22"/>
          <w:szCs w:val="22"/>
        </w:rPr>
        <w:t xml:space="preserve">The planning proposal will require amendment of the following Wagga Wagga LEP 2010 Map Sheets: </w:t>
      </w:r>
    </w:p>
    <w:p w14:paraId="0C58CFC9" w14:textId="77777777" w:rsidR="00A94B21" w:rsidRDefault="00A94B21" w:rsidP="00A94B21">
      <w:pPr>
        <w:pStyle w:val="Default"/>
        <w:rPr>
          <w:rFonts w:ascii="Arial" w:hAnsi="Arial" w:cs="Arial"/>
          <w:color w:val="auto"/>
          <w:sz w:val="22"/>
          <w:szCs w:val="22"/>
        </w:rPr>
      </w:pPr>
    </w:p>
    <w:p w14:paraId="462814C8" w14:textId="77777777" w:rsidR="00A94B21" w:rsidRDefault="00A94B21" w:rsidP="00A94B21">
      <w:pPr>
        <w:rPr>
          <w:rFonts w:cs="Arial"/>
          <w:sz w:val="22"/>
          <w:szCs w:val="22"/>
        </w:rPr>
        <w:sectPr w:rsidR="00A94B21" w:rsidSect="00AA72C5">
          <w:headerReference w:type="default" r:id="rId16"/>
          <w:headerReference w:type="first" r:id="rId17"/>
          <w:pgSz w:w="11906" w:h="16838"/>
          <w:pgMar w:top="993" w:right="1440" w:bottom="1135" w:left="1440" w:header="709" w:footer="709" w:gutter="0"/>
          <w:cols w:space="720"/>
          <w:titlePg/>
          <w:docGrid w:linePitch="326"/>
        </w:sectPr>
      </w:pPr>
    </w:p>
    <w:p w14:paraId="0AB2106E" w14:textId="77777777" w:rsidR="00A94B21" w:rsidRDefault="00A94B21" w:rsidP="00A94B21">
      <w:pPr>
        <w:pStyle w:val="Default"/>
        <w:rPr>
          <w:rFonts w:ascii="Arial" w:hAnsi="Arial" w:cs="Arial"/>
          <w:i/>
          <w:color w:val="auto"/>
          <w:sz w:val="22"/>
          <w:szCs w:val="22"/>
        </w:rPr>
      </w:pPr>
      <w:r>
        <w:rPr>
          <w:rFonts w:ascii="Arial" w:hAnsi="Arial" w:cs="Arial"/>
          <w:i/>
          <w:color w:val="auto"/>
          <w:sz w:val="22"/>
          <w:szCs w:val="22"/>
        </w:rPr>
        <w:t xml:space="preserve">Land Zoning Maps </w:t>
      </w:r>
    </w:p>
    <w:p w14:paraId="6C2D0248" w14:textId="77777777" w:rsidR="00A94B21" w:rsidRDefault="00A94B21" w:rsidP="00A94B21">
      <w:pPr>
        <w:pStyle w:val="Default"/>
        <w:spacing w:after="21"/>
        <w:rPr>
          <w:rFonts w:ascii="Arial" w:hAnsi="Arial" w:cs="Arial"/>
          <w:color w:val="auto"/>
          <w:sz w:val="22"/>
          <w:szCs w:val="22"/>
        </w:rPr>
      </w:pPr>
      <w:r>
        <w:rPr>
          <w:rFonts w:ascii="Arial" w:hAnsi="Arial" w:cs="Arial"/>
          <w:color w:val="auto"/>
          <w:sz w:val="22"/>
          <w:szCs w:val="22"/>
        </w:rPr>
        <w:t xml:space="preserve">• LZN_003E </w:t>
      </w:r>
    </w:p>
    <w:p w14:paraId="15BD7873" w14:textId="77777777" w:rsidR="00A94B21" w:rsidRDefault="00A94B21" w:rsidP="00A94B21">
      <w:pPr>
        <w:pStyle w:val="Default"/>
        <w:rPr>
          <w:rFonts w:ascii="Arial" w:hAnsi="Arial" w:cs="Arial"/>
          <w:color w:val="auto"/>
          <w:sz w:val="22"/>
          <w:szCs w:val="22"/>
        </w:rPr>
      </w:pPr>
      <w:r>
        <w:rPr>
          <w:rFonts w:ascii="Arial" w:hAnsi="Arial" w:cs="Arial"/>
          <w:color w:val="auto"/>
          <w:sz w:val="22"/>
          <w:szCs w:val="22"/>
        </w:rPr>
        <w:t xml:space="preserve">• LZN_003F </w:t>
      </w:r>
    </w:p>
    <w:p w14:paraId="20C283A9" w14:textId="77777777" w:rsidR="00A94B21" w:rsidRDefault="00A94B21" w:rsidP="00A94B21">
      <w:pPr>
        <w:pStyle w:val="Default"/>
        <w:rPr>
          <w:rFonts w:ascii="Arial" w:hAnsi="Arial" w:cs="Arial"/>
          <w:color w:val="auto"/>
          <w:sz w:val="22"/>
          <w:szCs w:val="22"/>
        </w:rPr>
      </w:pPr>
    </w:p>
    <w:p w14:paraId="6141A07E" w14:textId="77777777" w:rsidR="00A94B21" w:rsidRDefault="00A94B21" w:rsidP="00A94B21">
      <w:pPr>
        <w:pStyle w:val="Default"/>
        <w:rPr>
          <w:rFonts w:ascii="Arial" w:hAnsi="Arial" w:cs="Arial"/>
          <w:i/>
          <w:color w:val="auto"/>
          <w:sz w:val="22"/>
          <w:szCs w:val="22"/>
        </w:rPr>
      </w:pPr>
      <w:r>
        <w:rPr>
          <w:rFonts w:ascii="Arial" w:hAnsi="Arial" w:cs="Arial"/>
          <w:i/>
          <w:color w:val="auto"/>
          <w:sz w:val="22"/>
          <w:szCs w:val="22"/>
        </w:rPr>
        <w:t xml:space="preserve">Lot Size Maps </w:t>
      </w:r>
    </w:p>
    <w:p w14:paraId="2DB6E129" w14:textId="77777777" w:rsidR="00A94B21" w:rsidRDefault="00A94B21" w:rsidP="00A94B21">
      <w:pPr>
        <w:pStyle w:val="Default"/>
        <w:spacing w:after="21"/>
        <w:rPr>
          <w:rFonts w:ascii="Arial" w:hAnsi="Arial" w:cs="Arial"/>
          <w:color w:val="auto"/>
          <w:sz w:val="22"/>
          <w:szCs w:val="22"/>
        </w:rPr>
      </w:pPr>
      <w:r>
        <w:rPr>
          <w:rFonts w:ascii="Arial" w:hAnsi="Arial" w:cs="Arial"/>
          <w:color w:val="auto"/>
          <w:sz w:val="22"/>
          <w:szCs w:val="22"/>
        </w:rPr>
        <w:t xml:space="preserve">• LSZ_003E </w:t>
      </w:r>
    </w:p>
    <w:p w14:paraId="5BE89E23" w14:textId="77777777" w:rsidR="00A94B21" w:rsidRDefault="00A94B21" w:rsidP="00A94B21">
      <w:pPr>
        <w:pStyle w:val="Default"/>
        <w:rPr>
          <w:rFonts w:ascii="Arial" w:hAnsi="Arial" w:cs="Arial"/>
          <w:color w:val="auto"/>
          <w:sz w:val="22"/>
          <w:szCs w:val="22"/>
        </w:rPr>
      </w:pPr>
      <w:r>
        <w:rPr>
          <w:rFonts w:ascii="Arial" w:hAnsi="Arial" w:cs="Arial"/>
          <w:color w:val="auto"/>
          <w:sz w:val="22"/>
          <w:szCs w:val="22"/>
        </w:rPr>
        <w:t xml:space="preserve">• LSZ_003F </w:t>
      </w:r>
    </w:p>
    <w:p w14:paraId="0607800E" w14:textId="77777777" w:rsidR="00A94B21" w:rsidRDefault="00A94B21" w:rsidP="00A94B21">
      <w:pPr>
        <w:rPr>
          <w:rFonts w:cs="Arial"/>
          <w:sz w:val="22"/>
          <w:szCs w:val="22"/>
        </w:rPr>
        <w:sectPr w:rsidR="00A94B21">
          <w:type w:val="continuous"/>
          <w:pgSz w:w="11906" w:h="16838"/>
          <w:pgMar w:top="993" w:right="1440" w:bottom="1135" w:left="1440" w:header="709" w:footer="709" w:gutter="0"/>
          <w:cols w:num="2" w:space="2"/>
        </w:sectPr>
      </w:pPr>
    </w:p>
    <w:p w14:paraId="68C85CAB" w14:textId="77777777" w:rsidR="00A94B21" w:rsidRDefault="00A94B21" w:rsidP="00A94B21">
      <w:pPr>
        <w:tabs>
          <w:tab w:val="left" w:pos="2520"/>
        </w:tabs>
        <w:spacing w:after="120"/>
        <w:rPr>
          <w:rFonts w:cs="Arial"/>
          <w:b/>
          <w:sz w:val="22"/>
          <w:szCs w:val="22"/>
        </w:rPr>
      </w:pPr>
      <w:r>
        <w:rPr>
          <w:rFonts w:cs="Arial"/>
          <w:sz w:val="22"/>
          <w:szCs w:val="22"/>
        </w:rPr>
        <w:t>Figures 2 and 3 show the current and proposed planning controls.  The maps do not require updating prior to community consultation.</w:t>
      </w:r>
    </w:p>
    <w:p w14:paraId="6998062D" w14:textId="77777777" w:rsidR="00A94B21" w:rsidRDefault="00A94B21" w:rsidP="00A94B21">
      <w:pPr>
        <w:pBdr>
          <w:bottom w:val="single" w:sz="4" w:space="1" w:color="auto"/>
        </w:pBdr>
        <w:tabs>
          <w:tab w:val="left" w:pos="2520"/>
        </w:tabs>
        <w:spacing w:before="240" w:after="120"/>
        <w:rPr>
          <w:rFonts w:cs="Arial"/>
          <w:b/>
          <w:sz w:val="22"/>
          <w:szCs w:val="22"/>
        </w:rPr>
      </w:pPr>
      <w:r>
        <w:rPr>
          <w:rFonts w:cs="Arial"/>
          <w:b/>
          <w:sz w:val="22"/>
          <w:szCs w:val="22"/>
        </w:rPr>
        <w:t xml:space="preserve">3. NEED FOR THE PLANNING PROPOSAL  </w:t>
      </w:r>
    </w:p>
    <w:p w14:paraId="0831E86F" w14:textId="77777777" w:rsidR="00A94B21" w:rsidRDefault="00A94B21" w:rsidP="00A94B21">
      <w:pPr>
        <w:tabs>
          <w:tab w:val="left" w:pos="2520"/>
        </w:tabs>
        <w:spacing w:after="120"/>
        <w:rPr>
          <w:rFonts w:cs="Arial"/>
          <w:sz w:val="22"/>
          <w:szCs w:val="22"/>
        </w:rPr>
      </w:pPr>
      <w:r>
        <w:rPr>
          <w:rFonts w:cs="Arial"/>
          <w:sz w:val="22"/>
          <w:szCs w:val="22"/>
        </w:rPr>
        <w:t>Council’s planning proposal clearly articulates the need for the local environmental plan amendment. It notes that land within the Wagga Wagga SAP is of high strategic importance for the following reasons:</w:t>
      </w:r>
    </w:p>
    <w:p w14:paraId="7DAE9601" w14:textId="77777777" w:rsidR="00A94B21" w:rsidRDefault="00A94B21" w:rsidP="00A94B21">
      <w:pPr>
        <w:pStyle w:val="ListParagraph"/>
        <w:numPr>
          <w:ilvl w:val="0"/>
          <w:numId w:val="1"/>
        </w:numPr>
        <w:autoSpaceDE w:val="0"/>
        <w:autoSpaceDN w:val="0"/>
        <w:adjustRightInd w:val="0"/>
        <w:spacing w:after="60"/>
        <w:ind w:left="709" w:hanging="284"/>
        <w:rPr>
          <w:rFonts w:ascii="Arial" w:hAnsi="Arial" w:cs="Arial"/>
          <w:i/>
        </w:rPr>
      </w:pPr>
      <w:r>
        <w:rPr>
          <w:rFonts w:ascii="Arial" w:hAnsi="Arial" w:cs="Arial"/>
          <w:i/>
        </w:rPr>
        <w:t xml:space="preserve">it is to become one of the largest employment hubs in Australia; </w:t>
      </w:r>
    </w:p>
    <w:p w14:paraId="2DBDA099" w14:textId="77777777" w:rsidR="00A94B21" w:rsidRDefault="00A94B21" w:rsidP="00A94B21">
      <w:pPr>
        <w:pStyle w:val="ListParagraph"/>
        <w:numPr>
          <w:ilvl w:val="0"/>
          <w:numId w:val="1"/>
        </w:numPr>
        <w:autoSpaceDE w:val="0"/>
        <w:autoSpaceDN w:val="0"/>
        <w:adjustRightInd w:val="0"/>
        <w:spacing w:after="60"/>
        <w:ind w:left="709" w:hanging="284"/>
        <w:rPr>
          <w:rFonts w:ascii="Arial" w:hAnsi="Arial" w:cs="Arial"/>
          <w:i/>
        </w:rPr>
      </w:pPr>
      <w:r>
        <w:rPr>
          <w:rFonts w:ascii="Arial" w:hAnsi="Arial" w:cs="Arial"/>
          <w:i/>
        </w:rPr>
        <w:t xml:space="preserve">it provides direct access to freight rail and to road networks supporting Higher Mass Limit road vehicles; </w:t>
      </w:r>
    </w:p>
    <w:p w14:paraId="5EC6C75A" w14:textId="77777777" w:rsidR="00A94B21" w:rsidRDefault="00A94B21" w:rsidP="00A94B21">
      <w:pPr>
        <w:pStyle w:val="ListParagraph"/>
        <w:numPr>
          <w:ilvl w:val="0"/>
          <w:numId w:val="1"/>
        </w:numPr>
        <w:autoSpaceDE w:val="0"/>
        <w:autoSpaceDN w:val="0"/>
        <w:adjustRightInd w:val="0"/>
        <w:spacing w:after="60"/>
        <w:ind w:left="709" w:hanging="284"/>
        <w:rPr>
          <w:rFonts w:ascii="Arial" w:hAnsi="Arial" w:cs="Arial"/>
          <w:i/>
        </w:rPr>
      </w:pPr>
      <w:r>
        <w:rPr>
          <w:rFonts w:ascii="Arial" w:hAnsi="Arial" w:cs="Arial"/>
          <w:i/>
        </w:rPr>
        <w:t xml:space="preserve">it has large undeveloped and underdeveloped tracts of land, which provide opportunities for large industrial lots; </w:t>
      </w:r>
    </w:p>
    <w:p w14:paraId="0ADAA343" w14:textId="77777777" w:rsidR="00A94B21" w:rsidRDefault="00A94B21" w:rsidP="00A94B21">
      <w:pPr>
        <w:pStyle w:val="ListParagraph"/>
        <w:numPr>
          <w:ilvl w:val="0"/>
          <w:numId w:val="1"/>
        </w:numPr>
        <w:autoSpaceDE w:val="0"/>
        <w:autoSpaceDN w:val="0"/>
        <w:adjustRightInd w:val="0"/>
        <w:spacing w:after="60"/>
        <w:ind w:left="709" w:hanging="284"/>
        <w:rPr>
          <w:rFonts w:ascii="Arial" w:hAnsi="Arial" w:cs="Arial"/>
          <w:i/>
        </w:rPr>
      </w:pPr>
      <w:r>
        <w:rPr>
          <w:rFonts w:ascii="Arial" w:hAnsi="Arial" w:cs="Arial"/>
          <w:i/>
        </w:rPr>
        <w:t xml:space="preserve">it is home to cornerstone industrial enterprises including </w:t>
      </w:r>
      <w:proofErr w:type="spellStart"/>
      <w:r>
        <w:rPr>
          <w:rFonts w:ascii="Arial" w:hAnsi="Arial" w:cs="Arial"/>
          <w:i/>
        </w:rPr>
        <w:t>Teys</w:t>
      </w:r>
      <w:proofErr w:type="spellEnd"/>
      <w:r>
        <w:rPr>
          <w:rFonts w:ascii="Arial" w:hAnsi="Arial" w:cs="Arial"/>
          <w:i/>
        </w:rPr>
        <w:t xml:space="preserve">, Heinz </w:t>
      </w:r>
      <w:proofErr w:type="spellStart"/>
      <w:r>
        <w:rPr>
          <w:rFonts w:ascii="Arial" w:hAnsi="Arial" w:cs="Arial"/>
          <w:i/>
        </w:rPr>
        <w:t>Watties</w:t>
      </w:r>
      <w:proofErr w:type="spellEnd"/>
      <w:r>
        <w:rPr>
          <w:rFonts w:ascii="Arial" w:hAnsi="Arial" w:cs="Arial"/>
          <w:i/>
        </w:rPr>
        <w:t xml:space="preserve">, </w:t>
      </w:r>
      <w:proofErr w:type="spellStart"/>
      <w:r>
        <w:rPr>
          <w:rFonts w:ascii="Arial" w:hAnsi="Arial" w:cs="Arial"/>
          <w:i/>
        </w:rPr>
        <w:t>Austrak</w:t>
      </w:r>
      <w:proofErr w:type="spellEnd"/>
      <w:r>
        <w:rPr>
          <w:rFonts w:ascii="Arial" w:hAnsi="Arial" w:cs="Arial"/>
          <w:i/>
        </w:rPr>
        <w:t xml:space="preserve"> and Southern Oil Refining; </w:t>
      </w:r>
    </w:p>
    <w:p w14:paraId="00B5F379" w14:textId="77777777" w:rsidR="00A94B21" w:rsidRDefault="00A94B21" w:rsidP="00A94B21">
      <w:pPr>
        <w:pStyle w:val="ListParagraph"/>
        <w:numPr>
          <w:ilvl w:val="0"/>
          <w:numId w:val="1"/>
        </w:numPr>
        <w:autoSpaceDE w:val="0"/>
        <w:autoSpaceDN w:val="0"/>
        <w:adjustRightInd w:val="0"/>
        <w:spacing w:after="120"/>
        <w:ind w:left="709" w:hanging="284"/>
        <w:rPr>
          <w:rFonts w:ascii="Arial" w:hAnsi="Arial" w:cs="Arial"/>
          <w:i/>
        </w:rPr>
      </w:pPr>
      <w:r>
        <w:rPr>
          <w:rFonts w:ascii="Arial" w:hAnsi="Arial" w:cs="Arial"/>
          <w:i/>
        </w:rPr>
        <w:t xml:space="preserve">it is located within a major regional centre, with the benefits that location offers to enterprise, but has a limited number of sensitive residential receptors in the immediate surrounds. </w:t>
      </w:r>
    </w:p>
    <w:p w14:paraId="5F4A09ED" w14:textId="77777777" w:rsidR="00A94B21" w:rsidRDefault="00A94B21" w:rsidP="00A94B21">
      <w:pPr>
        <w:tabs>
          <w:tab w:val="left" w:pos="2520"/>
        </w:tabs>
        <w:spacing w:after="120"/>
        <w:rPr>
          <w:rFonts w:cs="Arial"/>
          <w:sz w:val="22"/>
          <w:szCs w:val="22"/>
        </w:rPr>
      </w:pPr>
      <w:r>
        <w:rPr>
          <w:rFonts w:cs="Arial"/>
          <w:sz w:val="22"/>
          <w:szCs w:val="22"/>
        </w:rPr>
        <w:lastRenderedPageBreak/>
        <w:t>The planning proposal identifies that the proposed amendments are needed to reduce the potential for additional sensitive land uses (</w:t>
      </w:r>
      <w:proofErr w:type="spellStart"/>
      <w:r>
        <w:rPr>
          <w:rFonts w:cs="Arial"/>
          <w:sz w:val="22"/>
          <w:szCs w:val="22"/>
        </w:rPr>
        <w:t>ie</w:t>
      </w:r>
      <w:proofErr w:type="spellEnd"/>
      <w:r>
        <w:rPr>
          <w:rFonts w:cs="Arial"/>
          <w:sz w:val="22"/>
          <w:szCs w:val="22"/>
        </w:rPr>
        <w:t>. additional residential development) adjacent to the SAP area to avoid increased land use conflict.</w:t>
      </w:r>
    </w:p>
    <w:p w14:paraId="366B9FF1" w14:textId="77777777" w:rsidR="00A94B21" w:rsidRDefault="00A94B21" w:rsidP="00A94B21">
      <w:pPr>
        <w:tabs>
          <w:tab w:val="left" w:pos="2520"/>
        </w:tabs>
        <w:spacing w:after="120"/>
        <w:rPr>
          <w:rFonts w:cs="Arial"/>
          <w:sz w:val="22"/>
          <w:szCs w:val="22"/>
        </w:rPr>
      </w:pPr>
      <w:r>
        <w:rPr>
          <w:rFonts w:cs="Arial"/>
          <w:sz w:val="22"/>
          <w:szCs w:val="22"/>
        </w:rPr>
        <w:t xml:space="preserve">Technical studies were undertaken by the NSW Government as part of the preparation of the Master Plan for the SAP. </w:t>
      </w:r>
      <w:proofErr w:type="spellStart"/>
      <w:r>
        <w:rPr>
          <w:rFonts w:cs="Arial"/>
          <w:sz w:val="22"/>
          <w:szCs w:val="22"/>
        </w:rPr>
        <w:t>Todoroski</w:t>
      </w:r>
      <w:proofErr w:type="spellEnd"/>
      <w:r>
        <w:rPr>
          <w:rFonts w:cs="Arial"/>
          <w:sz w:val="22"/>
          <w:szCs w:val="22"/>
        </w:rPr>
        <w:t xml:space="preserve"> Air Sciences undertook a report for the SAP Master Plan investigating planning considerations for air, noise and odour (dated 13 July 2020).</w:t>
      </w:r>
    </w:p>
    <w:p w14:paraId="59E3B37F" w14:textId="77777777" w:rsidR="00A94B21" w:rsidRDefault="00A94B21" w:rsidP="00A94B21">
      <w:pPr>
        <w:tabs>
          <w:tab w:val="left" w:pos="2520"/>
        </w:tabs>
        <w:spacing w:after="120"/>
        <w:rPr>
          <w:rFonts w:cs="Arial"/>
          <w:sz w:val="22"/>
          <w:szCs w:val="22"/>
        </w:rPr>
      </w:pPr>
      <w:r>
        <w:rPr>
          <w:rFonts w:cs="Arial"/>
          <w:sz w:val="22"/>
          <w:szCs w:val="22"/>
        </w:rPr>
        <w:t xml:space="preserve">The </w:t>
      </w:r>
      <w:proofErr w:type="spellStart"/>
      <w:r>
        <w:rPr>
          <w:rFonts w:cs="Arial"/>
          <w:sz w:val="22"/>
          <w:szCs w:val="22"/>
        </w:rPr>
        <w:t>Todoroski</w:t>
      </w:r>
      <w:proofErr w:type="spellEnd"/>
      <w:r>
        <w:rPr>
          <w:rFonts w:cs="Arial"/>
          <w:sz w:val="22"/>
          <w:szCs w:val="22"/>
        </w:rPr>
        <w:t xml:space="preserve"> report concluded:</w:t>
      </w:r>
    </w:p>
    <w:p w14:paraId="0F69EBE7" w14:textId="77777777" w:rsidR="00A94B21" w:rsidRDefault="00A94B21" w:rsidP="00A94B21">
      <w:pPr>
        <w:tabs>
          <w:tab w:val="left" w:pos="2520"/>
        </w:tabs>
        <w:spacing w:after="120"/>
        <w:ind w:left="720"/>
        <w:rPr>
          <w:sz w:val="22"/>
          <w:szCs w:val="22"/>
        </w:rPr>
      </w:pPr>
      <w:r>
        <w:rPr>
          <w:i/>
          <w:sz w:val="22"/>
          <w:szCs w:val="22"/>
        </w:rPr>
        <w:t>In addition to the required minimum buffer area…, it is recommended to minimise or limit further residential intensification in areas close to the required buffer area. This is necessary to ensure that the projected impacts are not exacerbated in the future by residential creep (increased numbers of residential dwellings close to industrial sources).</w:t>
      </w:r>
    </w:p>
    <w:p w14:paraId="6D8BAB72" w14:textId="446CC2B0" w:rsidR="00A94B21" w:rsidRDefault="00A94B21" w:rsidP="00A94B21">
      <w:pPr>
        <w:tabs>
          <w:tab w:val="left" w:pos="2520"/>
        </w:tabs>
        <w:spacing w:after="120"/>
        <w:rPr>
          <w:rFonts w:cs="Arial"/>
          <w:sz w:val="22"/>
          <w:szCs w:val="22"/>
        </w:rPr>
      </w:pPr>
      <w:r>
        <w:rPr>
          <w:sz w:val="22"/>
          <w:szCs w:val="22"/>
        </w:rPr>
        <w:t xml:space="preserve">Council has used the findings of the </w:t>
      </w:r>
      <w:proofErr w:type="spellStart"/>
      <w:r>
        <w:rPr>
          <w:sz w:val="22"/>
          <w:szCs w:val="22"/>
        </w:rPr>
        <w:t>Todoroski</w:t>
      </w:r>
      <w:proofErr w:type="spellEnd"/>
      <w:r>
        <w:rPr>
          <w:sz w:val="22"/>
          <w:szCs w:val="22"/>
        </w:rPr>
        <w:t xml:space="preserve"> Air Services report, including Figure </w:t>
      </w:r>
      <w:r w:rsidR="00025772">
        <w:rPr>
          <w:sz w:val="22"/>
          <w:szCs w:val="22"/>
        </w:rPr>
        <w:t>6</w:t>
      </w:r>
      <w:r>
        <w:rPr>
          <w:sz w:val="22"/>
          <w:szCs w:val="22"/>
        </w:rPr>
        <w:t xml:space="preserve"> below to inform the planning proposal outcomes. Figure </w:t>
      </w:r>
      <w:r w:rsidR="00025772">
        <w:rPr>
          <w:sz w:val="22"/>
          <w:szCs w:val="22"/>
        </w:rPr>
        <w:t>6</w:t>
      </w:r>
      <w:r>
        <w:rPr>
          <w:sz w:val="22"/>
          <w:szCs w:val="22"/>
        </w:rPr>
        <w:t xml:space="preserve"> shows the </w:t>
      </w:r>
      <w:r w:rsidR="00475A5C">
        <w:rPr>
          <w:sz w:val="22"/>
          <w:szCs w:val="22"/>
        </w:rPr>
        <w:t>Cartwrights</w:t>
      </w:r>
      <w:r>
        <w:rPr>
          <w:sz w:val="22"/>
          <w:szCs w:val="22"/>
        </w:rPr>
        <w:t xml:space="preserve"> Hill area (left) and the </w:t>
      </w:r>
      <w:r w:rsidR="00A04F94">
        <w:rPr>
          <w:sz w:val="22"/>
          <w:szCs w:val="22"/>
        </w:rPr>
        <w:t xml:space="preserve">North Wagga Wagga </w:t>
      </w:r>
      <w:r w:rsidR="00DE2B43">
        <w:rPr>
          <w:sz w:val="22"/>
          <w:szCs w:val="22"/>
        </w:rPr>
        <w:t xml:space="preserve">area </w:t>
      </w:r>
      <w:r>
        <w:rPr>
          <w:sz w:val="22"/>
          <w:szCs w:val="22"/>
        </w:rPr>
        <w:t>(right).</w:t>
      </w:r>
    </w:p>
    <w:p w14:paraId="223D2CE7" w14:textId="0FF92931" w:rsidR="00A94B21" w:rsidRDefault="00A94B21" w:rsidP="00A94B21">
      <w:pPr>
        <w:pStyle w:val="Caption"/>
        <w:keepNext/>
        <w:spacing w:after="0"/>
        <w:rPr>
          <w:color w:val="auto"/>
          <w:sz w:val="22"/>
          <w:szCs w:val="22"/>
        </w:rPr>
      </w:pPr>
      <w:r>
        <w:rPr>
          <w:color w:val="auto"/>
          <w:sz w:val="22"/>
          <w:szCs w:val="22"/>
        </w:rPr>
        <w:t xml:space="preserve">Figure </w:t>
      </w:r>
      <w:r w:rsidR="00025772">
        <w:rPr>
          <w:color w:val="auto"/>
          <w:sz w:val="22"/>
          <w:szCs w:val="22"/>
        </w:rPr>
        <w:t>6</w:t>
      </w:r>
      <w:r>
        <w:rPr>
          <w:color w:val="auto"/>
          <w:sz w:val="22"/>
          <w:szCs w:val="22"/>
        </w:rPr>
        <w:t xml:space="preserve"> - Recommended buffer for minimising residential intensification </w:t>
      </w:r>
    </w:p>
    <w:p w14:paraId="1FF05065" w14:textId="77777777" w:rsidR="00A94B21" w:rsidRDefault="00A94B21" w:rsidP="00A94B21">
      <w:pPr>
        <w:pStyle w:val="Caption"/>
        <w:keepNext/>
        <w:spacing w:after="0"/>
        <w:rPr>
          <w:color w:val="auto"/>
          <w:sz w:val="20"/>
          <w:szCs w:val="20"/>
        </w:rPr>
      </w:pPr>
      <w:r>
        <w:rPr>
          <w:color w:val="auto"/>
          <w:sz w:val="20"/>
          <w:szCs w:val="20"/>
        </w:rPr>
        <w:t xml:space="preserve">(extract from </w:t>
      </w:r>
      <w:proofErr w:type="spellStart"/>
      <w:r>
        <w:rPr>
          <w:color w:val="auto"/>
          <w:sz w:val="20"/>
          <w:szCs w:val="20"/>
        </w:rPr>
        <w:t>Todoroski</w:t>
      </w:r>
      <w:proofErr w:type="spellEnd"/>
      <w:r>
        <w:rPr>
          <w:color w:val="auto"/>
          <w:sz w:val="20"/>
          <w:szCs w:val="20"/>
        </w:rPr>
        <w:t xml:space="preserve"> Air Services Report)</w:t>
      </w:r>
    </w:p>
    <w:p w14:paraId="6148E830" w14:textId="4A045641" w:rsidR="00A94B21" w:rsidRDefault="00A94B21" w:rsidP="00A94B21">
      <w:pPr>
        <w:tabs>
          <w:tab w:val="left" w:pos="2520"/>
        </w:tabs>
        <w:spacing w:after="120"/>
        <w:rPr>
          <w:rFonts w:cs="Arial"/>
          <w:sz w:val="22"/>
          <w:szCs w:val="22"/>
        </w:rPr>
      </w:pPr>
      <w:r>
        <w:rPr>
          <w:noProof/>
        </w:rPr>
        <w:drawing>
          <wp:inline distT="0" distB="0" distL="0" distR="0" wp14:anchorId="34FCD1D5" wp14:editId="7DDDF208">
            <wp:extent cx="5406887" cy="30137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6547" cy="3019127"/>
                    </a:xfrm>
                    <a:prstGeom prst="rect">
                      <a:avLst/>
                    </a:prstGeom>
                    <a:noFill/>
                    <a:ln>
                      <a:noFill/>
                    </a:ln>
                  </pic:spPr>
                </pic:pic>
              </a:graphicData>
            </a:graphic>
          </wp:inline>
        </w:drawing>
      </w:r>
    </w:p>
    <w:p w14:paraId="45006DCD" w14:textId="01F31C86" w:rsidR="00A94B21" w:rsidRDefault="00A94B21" w:rsidP="00A94B21">
      <w:pPr>
        <w:tabs>
          <w:tab w:val="left" w:pos="2520"/>
        </w:tabs>
        <w:spacing w:after="120"/>
        <w:rPr>
          <w:szCs w:val="24"/>
        </w:rPr>
      </w:pPr>
      <w:r>
        <w:rPr>
          <w:rFonts w:cs="Arial"/>
          <w:sz w:val="22"/>
          <w:szCs w:val="22"/>
        </w:rPr>
        <w:t xml:space="preserve">The </w:t>
      </w:r>
      <w:r>
        <w:rPr>
          <w:rFonts w:cs="Arial"/>
          <w:i/>
          <w:sz w:val="22"/>
          <w:szCs w:val="22"/>
        </w:rPr>
        <w:t>Wagga Wagga Local Environmental Plan 2010</w:t>
      </w:r>
      <w:r>
        <w:rPr>
          <w:rFonts w:cs="Arial"/>
          <w:sz w:val="22"/>
          <w:szCs w:val="22"/>
        </w:rPr>
        <w:t xml:space="preserve"> includes clause 7.8 Cartwrights Hill Precinct – odour and noise assessment. This clause states that development consent must not be granted within the </w:t>
      </w:r>
      <w:r w:rsidR="00475A5C">
        <w:rPr>
          <w:rFonts w:cs="Arial"/>
          <w:sz w:val="22"/>
          <w:szCs w:val="22"/>
        </w:rPr>
        <w:t>Cartwrights</w:t>
      </w:r>
      <w:r>
        <w:rPr>
          <w:rFonts w:cs="Arial"/>
          <w:sz w:val="22"/>
          <w:szCs w:val="22"/>
        </w:rPr>
        <w:t xml:space="preserve"> Hill Precinct unless the consent authority has considered the potential impacts of </w:t>
      </w:r>
      <w:r w:rsidRPr="00CD1FBB">
        <w:rPr>
          <w:rFonts w:cs="Arial"/>
          <w:sz w:val="22"/>
          <w:szCs w:val="22"/>
        </w:rPr>
        <w:t xml:space="preserve">odour and noise from the </w:t>
      </w:r>
      <w:proofErr w:type="spellStart"/>
      <w:r w:rsidRPr="00CD1FBB">
        <w:rPr>
          <w:rFonts w:cs="Arial"/>
          <w:sz w:val="22"/>
          <w:szCs w:val="22"/>
        </w:rPr>
        <w:t>Bomen</w:t>
      </w:r>
      <w:proofErr w:type="spellEnd"/>
      <w:r w:rsidRPr="00CD1FBB">
        <w:rPr>
          <w:rFonts w:cs="Arial"/>
          <w:sz w:val="22"/>
          <w:szCs w:val="22"/>
        </w:rPr>
        <w:t xml:space="preserve"> industrial area and the </w:t>
      </w:r>
      <w:proofErr w:type="spellStart"/>
      <w:r w:rsidRPr="00CD1FBB">
        <w:rPr>
          <w:rFonts w:cs="Arial"/>
          <w:sz w:val="22"/>
          <w:szCs w:val="22"/>
        </w:rPr>
        <w:t>Bomen</w:t>
      </w:r>
      <w:proofErr w:type="spellEnd"/>
      <w:r w:rsidRPr="00CD1FBB">
        <w:rPr>
          <w:rFonts w:cs="Arial"/>
          <w:sz w:val="22"/>
          <w:szCs w:val="22"/>
        </w:rPr>
        <w:t xml:space="preserve"> sewage treatment facility.</w:t>
      </w:r>
      <w:r w:rsidR="00CD1FBB" w:rsidRPr="00CD1FBB">
        <w:rPr>
          <w:rFonts w:cs="Arial"/>
          <w:sz w:val="22"/>
          <w:szCs w:val="22"/>
        </w:rPr>
        <w:t xml:space="preserve"> </w:t>
      </w:r>
      <w:r w:rsidR="00A04F94">
        <w:rPr>
          <w:rFonts w:cs="Arial"/>
          <w:sz w:val="22"/>
          <w:szCs w:val="22"/>
        </w:rPr>
        <w:t xml:space="preserve">To date, </w:t>
      </w:r>
      <w:r w:rsidR="00CD1FBB" w:rsidRPr="00CD1FBB">
        <w:rPr>
          <w:rFonts w:cs="Arial"/>
          <w:sz w:val="22"/>
          <w:szCs w:val="22"/>
        </w:rPr>
        <w:t>Council has relie</w:t>
      </w:r>
      <w:r w:rsidR="00CD1FBB">
        <w:rPr>
          <w:rFonts w:cs="Arial"/>
          <w:sz w:val="22"/>
          <w:szCs w:val="22"/>
        </w:rPr>
        <w:t>d</w:t>
      </w:r>
      <w:r w:rsidR="00CD1FBB" w:rsidRPr="00CD1FBB">
        <w:rPr>
          <w:rFonts w:cs="Arial"/>
          <w:sz w:val="22"/>
          <w:szCs w:val="22"/>
        </w:rPr>
        <w:t xml:space="preserve"> on clause 7.8 to extinguish any additional development opportunities </w:t>
      </w:r>
      <w:r w:rsidR="00A04F94">
        <w:rPr>
          <w:rFonts w:cs="Arial"/>
          <w:sz w:val="22"/>
          <w:szCs w:val="22"/>
        </w:rPr>
        <w:t xml:space="preserve">in </w:t>
      </w:r>
      <w:r w:rsidR="00CD1FBB" w:rsidRPr="00CD1FBB">
        <w:rPr>
          <w:rFonts w:cs="Arial"/>
          <w:sz w:val="22"/>
          <w:szCs w:val="22"/>
        </w:rPr>
        <w:t xml:space="preserve">the </w:t>
      </w:r>
      <w:r w:rsidR="00475A5C">
        <w:rPr>
          <w:rFonts w:cs="Arial"/>
          <w:sz w:val="22"/>
          <w:szCs w:val="22"/>
        </w:rPr>
        <w:t>Cartwrights</w:t>
      </w:r>
      <w:r w:rsidR="00CD1FBB" w:rsidRPr="00CD1FBB">
        <w:rPr>
          <w:rFonts w:cs="Arial"/>
          <w:sz w:val="22"/>
          <w:szCs w:val="22"/>
        </w:rPr>
        <w:t xml:space="preserve"> Hill </w:t>
      </w:r>
      <w:r w:rsidR="00A04F94">
        <w:rPr>
          <w:rFonts w:cs="Arial"/>
          <w:sz w:val="22"/>
          <w:szCs w:val="22"/>
        </w:rPr>
        <w:t>area</w:t>
      </w:r>
      <w:r w:rsidR="00CD1FBB" w:rsidRPr="00CD1FBB">
        <w:rPr>
          <w:rFonts w:cs="Arial"/>
          <w:sz w:val="22"/>
          <w:szCs w:val="22"/>
        </w:rPr>
        <w:t>. However, existing zoning and lot size provisions within Cartwrights Hill does not align with</w:t>
      </w:r>
      <w:r w:rsidR="00CD1FBB">
        <w:rPr>
          <w:rFonts w:cs="Arial"/>
          <w:sz w:val="22"/>
          <w:szCs w:val="22"/>
        </w:rPr>
        <w:t xml:space="preserve"> the strategic intent of the area. In addition, clause 7.8 does not expressly prohibit development and therefore </w:t>
      </w:r>
      <w:r w:rsidR="00CA4DF8">
        <w:rPr>
          <w:rFonts w:cs="Arial"/>
          <w:sz w:val="22"/>
          <w:szCs w:val="22"/>
        </w:rPr>
        <w:t xml:space="preserve">does </w:t>
      </w:r>
      <w:r w:rsidR="00CD1FBB">
        <w:rPr>
          <w:rFonts w:cs="Arial"/>
          <w:sz w:val="22"/>
          <w:szCs w:val="22"/>
        </w:rPr>
        <w:t>not provide the certainty that Council is seeking to ensure that further sensitive receptors are not placed near the SAP area.</w:t>
      </w:r>
    </w:p>
    <w:p w14:paraId="3C812EAF" w14:textId="20EAD6E5" w:rsidR="00A94B21" w:rsidRDefault="008B5508" w:rsidP="00A94B21">
      <w:pPr>
        <w:tabs>
          <w:tab w:val="left" w:pos="2520"/>
        </w:tabs>
        <w:spacing w:after="120"/>
        <w:rPr>
          <w:rFonts w:cs="Arial"/>
          <w:sz w:val="22"/>
          <w:szCs w:val="22"/>
        </w:rPr>
      </w:pPr>
      <w:r>
        <w:rPr>
          <w:rFonts w:cs="Arial"/>
          <w:sz w:val="22"/>
          <w:szCs w:val="22"/>
        </w:rPr>
        <w:t xml:space="preserve">As </w:t>
      </w:r>
      <w:r w:rsidR="00CD1FBB" w:rsidRPr="00EC769D">
        <w:rPr>
          <w:rFonts w:cs="Arial"/>
          <w:sz w:val="22"/>
          <w:szCs w:val="22"/>
        </w:rPr>
        <w:t xml:space="preserve">Clause 7.8 </w:t>
      </w:r>
      <w:r w:rsidR="00A94B21" w:rsidRPr="00EC769D">
        <w:rPr>
          <w:rFonts w:cs="Arial"/>
          <w:sz w:val="22"/>
          <w:szCs w:val="22"/>
        </w:rPr>
        <w:t xml:space="preserve">does not apply to the </w:t>
      </w:r>
      <w:r w:rsidR="00CA4DF8">
        <w:rPr>
          <w:rFonts w:cs="Arial"/>
          <w:sz w:val="22"/>
          <w:szCs w:val="22"/>
        </w:rPr>
        <w:t xml:space="preserve">North Wagga Wagga </w:t>
      </w:r>
      <w:r w:rsidR="00A94B21" w:rsidRPr="00EC769D">
        <w:rPr>
          <w:rFonts w:cs="Arial"/>
          <w:sz w:val="22"/>
          <w:szCs w:val="22"/>
        </w:rPr>
        <w:t>site</w:t>
      </w:r>
      <w:r w:rsidR="00CD1FBB">
        <w:rPr>
          <w:rFonts w:cs="Arial"/>
          <w:sz w:val="22"/>
          <w:szCs w:val="22"/>
        </w:rPr>
        <w:t xml:space="preserve">, </w:t>
      </w:r>
      <w:r w:rsidR="00517A4E">
        <w:rPr>
          <w:rFonts w:cs="Arial"/>
          <w:sz w:val="22"/>
          <w:szCs w:val="22"/>
        </w:rPr>
        <w:t xml:space="preserve">there are </w:t>
      </w:r>
      <w:r w:rsidR="00EC769D">
        <w:rPr>
          <w:rFonts w:cs="Arial"/>
          <w:sz w:val="22"/>
          <w:szCs w:val="22"/>
        </w:rPr>
        <w:t xml:space="preserve">currently no planning controls restricting development to protect the integrity of the </w:t>
      </w:r>
      <w:r>
        <w:rPr>
          <w:rFonts w:cs="Arial"/>
          <w:sz w:val="22"/>
          <w:szCs w:val="22"/>
        </w:rPr>
        <w:t xml:space="preserve">adjoining </w:t>
      </w:r>
      <w:r w:rsidR="00EC769D">
        <w:rPr>
          <w:rFonts w:cs="Arial"/>
          <w:sz w:val="22"/>
          <w:szCs w:val="22"/>
        </w:rPr>
        <w:t>SAP area. As identified above</w:t>
      </w:r>
      <w:r>
        <w:rPr>
          <w:rFonts w:cs="Arial"/>
          <w:sz w:val="22"/>
          <w:szCs w:val="22"/>
        </w:rPr>
        <w:t>,</w:t>
      </w:r>
      <w:r w:rsidR="00EC769D">
        <w:rPr>
          <w:rFonts w:cs="Arial"/>
          <w:sz w:val="22"/>
          <w:szCs w:val="22"/>
        </w:rPr>
        <w:t xml:space="preserve"> </w:t>
      </w:r>
      <w:r>
        <w:rPr>
          <w:rFonts w:cs="Arial"/>
          <w:sz w:val="22"/>
          <w:szCs w:val="22"/>
        </w:rPr>
        <w:t xml:space="preserve">the </w:t>
      </w:r>
      <w:proofErr w:type="spellStart"/>
      <w:r w:rsidR="00EC769D">
        <w:rPr>
          <w:rFonts w:cs="Arial"/>
          <w:sz w:val="22"/>
          <w:szCs w:val="22"/>
        </w:rPr>
        <w:t>Todoroski</w:t>
      </w:r>
      <w:proofErr w:type="spellEnd"/>
      <w:r w:rsidR="00EC769D">
        <w:rPr>
          <w:rFonts w:cs="Arial"/>
          <w:sz w:val="22"/>
          <w:szCs w:val="22"/>
        </w:rPr>
        <w:t xml:space="preserve"> report identified the </w:t>
      </w:r>
      <w:r w:rsidR="00CA4DF8">
        <w:rPr>
          <w:rFonts w:cs="Arial"/>
          <w:sz w:val="22"/>
          <w:szCs w:val="22"/>
        </w:rPr>
        <w:t xml:space="preserve">North Wagga Wagga </w:t>
      </w:r>
      <w:r w:rsidR="00EC769D">
        <w:rPr>
          <w:rFonts w:cs="Arial"/>
          <w:sz w:val="22"/>
          <w:szCs w:val="22"/>
        </w:rPr>
        <w:t xml:space="preserve">site as a sensitive receptor in which development intensification should be restricted. The planning proposal investigated </w:t>
      </w:r>
      <w:proofErr w:type="gramStart"/>
      <w:r w:rsidR="00EC769D">
        <w:rPr>
          <w:rFonts w:cs="Arial"/>
          <w:sz w:val="22"/>
          <w:szCs w:val="22"/>
        </w:rPr>
        <w:t>a number of</w:t>
      </w:r>
      <w:proofErr w:type="gramEnd"/>
      <w:r w:rsidR="00EC769D">
        <w:rPr>
          <w:rFonts w:cs="Arial"/>
          <w:sz w:val="22"/>
          <w:szCs w:val="22"/>
        </w:rPr>
        <w:t xml:space="preserve"> alternative methods (below) to provide certainty </w:t>
      </w:r>
      <w:r>
        <w:rPr>
          <w:rFonts w:cs="Arial"/>
          <w:sz w:val="22"/>
          <w:szCs w:val="22"/>
        </w:rPr>
        <w:t xml:space="preserve">and </w:t>
      </w:r>
      <w:r w:rsidR="00EC769D">
        <w:rPr>
          <w:rFonts w:cs="Arial"/>
          <w:sz w:val="22"/>
          <w:szCs w:val="22"/>
        </w:rPr>
        <w:t xml:space="preserve">ensure that further sensitive receptors are not placed near the SAP area.  </w:t>
      </w:r>
      <w:r w:rsidR="00A94B21">
        <w:rPr>
          <w:rFonts w:cs="Arial"/>
          <w:sz w:val="22"/>
          <w:szCs w:val="22"/>
        </w:rPr>
        <w:t xml:space="preserve"> </w:t>
      </w:r>
    </w:p>
    <w:p w14:paraId="42E8C7EA" w14:textId="77777777" w:rsidR="00A94B21" w:rsidRDefault="00A94B21" w:rsidP="00A94B21">
      <w:pPr>
        <w:tabs>
          <w:tab w:val="left" w:pos="2520"/>
        </w:tabs>
        <w:spacing w:after="120"/>
        <w:rPr>
          <w:rFonts w:cs="Arial"/>
          <w:sz w:val="22"/>
          <w:szCs w:val="22"/>
        </w:rPr>
      </w:pPr>
      <w:r>
        <w:rPr>
          <w:rFonts w:cs="Arial"/>
          <w:sz w:val="22"/>
          <w:szCs w:val="22"/>
        </w:rPr>
        <w:lastRenderedPageBreak/>
        <w:t xml:space="preserve">Based on the technical studies undertaken, the importance of protecting the SAP and existing land uses within the </w:t>
      </w:r>
      <w:proofErr w:type="spellStart"/>
      <w:r>
        <w:rPr>
          <w:rFonts w:cs="Arial"/>
          <w:sz w:val="22"/>
          <w:szCs w:val="22"/>
        </w:rPr>
        <w:t>Bomen</w:t>
      </w:r>
      <w:proofErr w:type="spellEnd"/>
      <w:r>
        <w:rPr>
          <w:rFonts w:cs="Arial"/>
          <w:sz w:val="22"/>
          <w:szCs w:val="22"/>
        </w:rPr>
        <w:t xml:space="preserve"> industrial area, it is agreed that the planning proposal is needed to reduce the potential for further sensitive receptors in the subject lands.</w:t>
      </w:r>
    </w:p>
    <w:p w14:paraId="774A3BC3" w14:textId="53427D31" w:rsidR="00A94B21" w:rsidRDefault="00A94B21" w:rsidP="00A94B21">
      <w:pPr>
        <w:tabs>
          <w:tab w:val="left" w:pos="2520"/>
        </w:tabs>
        <w:spacing w:after="120"/>
        <w:rPr>
          <w:rFonts w:cs="Arial"/>
          <w:sz w:val="22"/>
          <w:szCs w:val="22"/>
        </w:rPr>
      </w:pPr>
      <w:r>
        <w:rPr>
          <w:rFonts w:cs="Arial"/>
          <w:sz w:val="22"/>
          <w:szCs w:val="22"/>
        </w:rPr>
        <w:t>Council’s planning proposal investigate</w:t>
      </w:r>
      <w:r w:rsidR="008B5508">
        <w:rPr>
          <w:rFonts w:cs="Arial"/>
          <w:sz w:val="22"/>
          <w:szCs w:val="22"/>
        </w:rPr>
        <w:t>d</w:t>
      </w:r>
      <w:r>
        <w:rPr>
          <w:rFonts w:cs="Arial"/>
          <w:sz w:val="22"/>
          <w:szCs w:val="22"/>
        </w:rPr>
        <w:t xml:space="preserve"> other options for achieving the objectives. These included:</w:t>
      </w:r>
    </w:p>
    <w:p w14:paraId="75E3AD49" w14:textId="14396742" w:rsidR="00A94B21" w:rsidRDefault="00A94B21" w:rsidP="00A94B21">
      <w:pPr>
        <w:pStyle w:val="ListParagraph"/>
        <w:numPr>
          <w:ilvl w:val="0"/>
          <w:numId w:val="2"/>
        </w:numPr>
        <w:tabs>
          <w:tab w:val="left" w:pos="2520"/>
        </w:tabs>
        <w:spacing w:after="120"/>
        <w:rPr>
          <w:rFonts w:ascii="Arial" w:hAnsi="Arial" w:cs="Arial"/>
        </w:rPr>
      </w:pPr>
      <w:r>
        <w:rPr>
          <w:rFonts w:ascii="Arial" w:hAnsi="Arial" w:cs="Arial"/>
        </w:rPr>
        <w:t xml:space="preserve">Extending the application of Clause 7.8 of the </w:t>
      </w:r>
      <w:r>
        <w:rPr>
          <w:rFonts w:ascii="Arial" w:hAnsi="Arial" w:cs="Arial"/>
          <w:i/>
        </w:rPr>
        <w:t>Wagga Wagga Local Environmental Plan 2010</w:t>
      </w:r>
      <w:r>
        <w:rPr>
          <w:rFonts w:ascii="Arial" w:hAnsi="Arial" w:cs="Arial"/>
        </w:rPr>
        <w:t xml:space="preserve"> to the </w:t>
      </w:r>
      <w:r w:rsidR="00CA4DF8">
        <w:rPr>
          <w:rFonts w:ascii="Arial" w:hAnsi="Arial" w:cs="Arial"/>
        </w:rPr>
        <w:t xml:space="preserve">North Wagga Wagga </w:t>
      </w:r>
      <w:r>
        <w:rPr>
          <w:rFonts w:ascii="Arial" w:hAnsi="Arial" w:cs="Arial"/>
        </w:rPr>
        <w:t xml:space="preserve">area, however </w:t>
      </w:r>
      <w:r w:rsidR="008B5508">
        <w:rPr>
          <w:rFonts w:ascii="Arial" w:hAnsi="Arial" w:cs="Arial"/>
        </w:rPr>
        <w:t xml:space="preserve">this </w:t>
      </w:r>
      <w:r>
        <w:rPr>
          <w:rFonts w:ascii="Arial" w:hAnsi="Arial" w:cs="Arial"/>
        </w:rPr>
        <w:t>does not provide the desired level of certainty and alignment with the strategic intent of the planning controls applying to the site.</w:t>
      </w:r>
    </w:p>
    <w:p w14:paraId="3A7BB6B1" w14:textId="70A4C477" w:rsidR="00A94B21" w:rsidRDefault="00A94B21" w:rsidP="00A94B21">
      <w:pPr>
        <w:pStyle w:val="ListParagraph"/>
        <w:numPr>
          <w:ilvl w:val="0"/>
          <w:numId w:val="2"/>
        </w:numPr>
        <w:tabs>
          <w:tab w:val="left" w:pos="2520"/>
        </w:tabs>
        <w:spacing w:after="120"/>
        <w:rPr>
          <w:rFonts w:ascii="Arial" w:hAnsi="Arial" w:cs="Arial"/>
        </w:rPr>
      </w:pPr>
      <w:r>
        <w:rPr>
          <w:rFonts w:ascii="Arial" w:hAnsi="Arial" w:cs="Arial"/>
        </w:rPr>
        <w:t xml:space="preserve">Increase the minimum lot size (MLS) at Cartwrights Hill to 2ha or 5ha and to 5ha at </w:t>
      </w:r>
      <w:r w:rsidR="00CA4DF8">
        <w:rPr>
          <w:rFonts w:ascii="Arial" w:hAnsi="Arial" w:cs="Arial"/>
        </w:rPr>
        <w:t xml:space="preserve">North Wagga Wagga </w:t>
      </w:r>
      <w:r>
        <w:rPr>
          <w:rFonts w:ascii="Arial" w:hAnsi="Arial" w:cs="Arial"/>
        </w:rPr>
        <w:t>while retaining the existing zonings. While this would reduce the potential for any new lots to be created, it does not extinguish the ability for dual occupancies to be developed and the zoning would not align with the planning intent.</w:t>
      </w:r>
    </w:p>
    <w:p w14:paraId="371C70CE" w14:textId="2ABA23CC" w:rsidR="00A94B21" w:rsidRDefault="00A94B21" w:rsidP="00A94B21">
      <w:pPr>
        <w:pStyle w:val="ListParagraph"/>
        <w:numPr>
          <w:ilvl w:val="0"/>
          <w:numId w:val="2"/>
        </w:numPr>
        <w:tabs>
          <w:tab w:val="left" w:pos="2520"/>
        </w:tabs>
        <w:spacing w:after="120"/>
        <w:rPr>
          <w:rFonts w:ascii="Arial" w:hAnsi="Arial" w:cs="Arial"/>
        </w:rPr>
      </w:pPr>
      <w:r>
        <w:rPr>
          <w:rFonts w:ascii="Arial" w:hAnsi="Arial" w:cs="Arial"/>
        </w:rPr>
        <w:t>Increase the MLS at both sites to 200ha while retaining the existing zonings, however secondary dwellings would still be permissible with consent and these areas would have lot sizes inconsistent with similar</w:t>
      </w:r>
      <w:r w:rsidR="008B5508">
        <w:rPr>
          <w:rFonts w:ascii="Arial" w:hAnsi="Arial" w:cs="Arial"/>
        </w:rPr>
        <w:t>ly</w:t>
      </w:r>
      <w:r>
        <w:rPr>
          <w:rFonts w:ascii="Arial" w:hAnsi="Arial" w:cs="Arial"/>
        </w:rPr>
        <w:t xml:space="preserve"> zoned lands across the local government area. It would also be inconsistent with the zone objectives.</w:t>
      </w:r>
    </w:p>
    <w:p w14:paraId="592053C5" w14:textId="77777777" w:rsidR="00A94B21" w:rsidRDefault="00A94B21" w:rsidP="00A94B21">
      <w:pPr>
        <w:pStyle w:val="ListParagraph"/>
        <w:numPr>
          <w:ilvl w:val="0"/>
          <w:numId w:val="2"/>
        </w:numPr>
        <w:tabs>
          <w:tab w:val="left" w:pos="2520"/>
        </w:tabs>
        <w:spacing w:after="120"/>
        <w:rPr>
          <w:rFonts w:ascii="Arial" w:hAnsi="Arial" w:cs="Arial"/>
        </w:rPr>
      </w:pPr>
      <w:r>
        <w:rPr>
          <w:rFonts w:ascii="Arial" w:hAnsi="Arial" w:cs="Arial"/>
        </w:rPr>
        <w:t>Rezone the subject lands to RU6 but retain the existing MLSs, however this would still allow for further subdivision.</w:t>
      </w:r>
    </w:p>
    <w:p w14:paraId="483A8A9A" w14:textId="77777777" w:rsidR="00A94B21" w:rsidRDefault="00A94B21" w:rsidP="00A94B21">
      <w:pPr>
        <w:tabs>
          <w:tab w:val="left" w:pos="2520"/>
        </w:tabs>
        <w:spacing w:after="120"/>
        <w:rPr>
          <w:rFonts w:cs="Arial"/>
          <w:sz w:val="22"/>
          <w:szCs w:val="22"/>
        </w:rPr>
      </w:pPr>
      <w:r>
        <w:rPr>
          <w:rFonts w:cs="Arial"/>
          <w:sz w:val="22"/>
          <w:szCs w:val="22"/>
        </w:rPr>
        <w:t>It is agreed that the proposal is the best means for achieving the intended outcomes as Council’s current clause 7.8 does not prohibit development in the subject lands and variations of zones and lot sizes would not satisfactorily achieve the desired outcomes of reducing potential for intensification in these areas. Changing both the land zoning and lot size more closely aligns the planning intent with the objectives of the planning proposal.</w:t>
      </w:r>
    </w:p>
    <w:p w14:paraId="08E40E37" w14:textId="77777777" w:rsidR="00A94B21" w:rsidRDefault="00A94B21" w:rsidP="00A94B21">
      <w:pPr>
        <w:pBdr>
          <w:bottom w:val="single" w:sz="4" w:space="1" w:color="auto"/>
        </w:pBdr>
        <w:tabs>
          <w:tab w:val="left" w:pos="2520"/>
        </w:tabs>
        <w:spacing w:before="240" w:after="120"/>
        <w:rPr>
          <w:rFonts w:cs="Arial"/>
          <w:b/>
          <w:sz w:val="22"/>
          <w:szCs w:val="22"/>
        </w:rPr>
      </w:pPr>
      <w:r>
        <w:rPr>
          <w:rFonts w:cs="Arial"/>
          <w:b/>
          <w:sz w:val="22"/>
          <w:szCs w:val="22"/>
        </w:rPr>
        <w:t>4. STRATEGIC ASSESSMENT</w:t>
      </w:r>
    </w:p>
    <w:p w14:paraId="30020669" w14:textId="77777777" w:rsidR="00A94B21" w:rsidRDefault="00A94B21" w:rsidP="00A94B21">
      <w:pPr>
        <w:tabs>
          <w:tab w:val="left" w:pos="2520"/>
        </w:tabs>
        <w:spacing w:before="120"/>
        <w:rPr>
          <w:rFonts w:cs="Arial"/>
          <w:b/>
          <w:sz w:val="22"/>
          <w:szCs w:val="22"/>
        </w:rPr>
      </w:pPr>
      <w:r>
        <w:rPr>
          <w:rFonts w:cs="Arial"/>
          <w:b/>
          <w:sz w:val="22"/>
          <w:szCs w:val="22"/>
        </w:rPr>
        <w:t>4.1 State</w:t>
      </w:r>
    </w:p>
    <w:p w14:paraId="58BCA6FC" w14:textId="77777777" w:rsidR="00A94B21" w:rsidRDefault="00A94B21" w:rsidP="00A94B21">
      <w:pPr>
        <w:tabs>
          <w:tab w:val="left" w:pos="2520"/>
        </w:tabs>
        <w:spacing w:after="120"/>
        <w:rPr>
          <w:rFonts w:cs="Arial"/>
          <w:sz w:val="22"/>
          <w:szCs w:val="22"/>
        </w:rPr>
      </w:pPr>
      <w:r>
        <w:rPr>
          <w:rFonts w:cs="Arial"/>
          <w:sz w:val="22"/>
          <w:szCs w:val="22"/>
        </w:rPr>
        <w:t>The proposal is not inconsistent with the State planning framework.</w:t>
      </w:r>
    </w:p>
    <w:p w14:paraId="585EFE44" w14:textId="77777777" w:rsidR="00A94B21" w:rsidRDefault="00A94B21" w:rsidP="00A94B21">
      <w:pPr>
        <w:tabs>
          <w:tab w:val="left" w:pos="2520"/>
        </w:tabs>
        <w:spacing w:before="120"/>
        <w:rPr>
          <w:rFonts w:cs="Arial"/>
          <w:b/>
          <w:sz w:val="22"/>
          <w:szCs w:val="22"/>
        </w:rPr>
      </w:pPr>
      <w:bookmarkStart w:id="1" w:name="_Hlk9340133"/>
      <w:r>
        <w:rPr>
          <w:rFonts w:cs="Arial"/>
          <w:b/>
          <w:sz w:val="22"/>
          <w:szCs w:val="22"/>
        </w:rPr>
        <w:t xml:space="preserve">4.2 Regional </w:t>
      </w:r>
    </w:p>
    <w:bookmarkEnd w:id="1"/>
    <w:p w14:paraId="7CD6272D" w14:textId="7660A357" w:rsidR="00CC6027" w:rsidRDefault="00A94B21" w:rsidP="00A94B21">
      <w:pPr>
        <w:tabs>
          <w:tab w:val="left" w:pos="2520"/>
        </w:tabs>
        <w:spacing w:after="120"/>
        <w:rPr>
          <w:rFonts w:cs="Arial"/>
          <w:i/>
          <w:sz w:val="22"/>
          <w:szCs w:val="22"/>
        </w:rPr>
      </w:pPr>
      <w:r>
        <w:rPr>
          <w:rFonts w:cs="Arial"/>
          <w:sz w:val="22"/>
          <w:szCs w:val="22"/>
        </w:rPr>
        <w:t>The</w:t>
      </w:r>
      <w:r w:rsidR="00CC6027">
        <w:rPr>
          <w:rFonts w:cs="Arial"/>
          <w:sz w:val="22"/>
          <w:szCs w:val="22"/>
        </w:rPr>
        <w:t xml:space="preserve"> planning</w:t>
      </w:r>
      <w:r>
        <w:rPr>
          <w:rFonts w:cs="Arial"/>
          <w:sz w:val="22"/>
          <w:szCs w:val="22"/>
        </w:rPr>
        <w:t xml:space="preserve"> proposal </w:t>
      </w:r>
      <w:r w:rsidR="00CC6027">
        <w:rPr>
          <w:rFonts w:cs="Arial"/>
          <w:sz w:val="22"/>
          <w:szCs w:val="22"/>
        </w:rPr>
        <w:t xml:space="preserve">demonstrates </w:t>
      </w:r>
      <w:r>
        <w:rPr>
          <w:rFonts w:cs="Arial"/>
          <w:sz w:val="22"/>
          <w:szCs w:val="22"/>
        </w:rPr>
        <w:t>consisten</w:t>
      </w:r>
      <w:r w:rsidR="00CC6027">
        <w:rPr>
          <w:rFonts w:cs="Arial"/>
          <w:sz w:val="22"/>
          <w:szCs w:val="22"/>
        </w:rPr>
        <w:t>cy</w:t>
      </w:r>
      <w:r>
        <w:rPr>
          <w:rFonts w:cs="Arial"/>
          <w:sz w:val="22"/>
          <w:szCs w:val="22"/>
        </w:rPr>
        <w:t xml:space="preserve"> with the Riverina Murray Regional Plan. </w:t>
      </w:r>
      <w:r w:rsidR="00CC6027">
        <w:rPr>
          <w:rFonts w:cs="Arial"/>
          <w:sz w:val="22"/>
          <w:szCs w:val="22"/>
        </w:rPr>
        <w:t>Specifically, it</w:t>
      </w:r>
      <w:r>
        <w:rPr>
          <w:rFonts w:cs="Arial"/>
          <w:sz w:val="22"/>
          <w:szCs w:val="22"/>
        </w:rPr>
        <w:t xml:space="preserve"> supports Action </w:t>
      </w:r>
      <w:r w:rsidRPr="00CC6027">
        <w:rPr>
          <w:rFonts w:cs="Arial"/>
          <w:sz w:val="22"/>
          <w:szCs w:val="22"/>
        </w:rPr>
        <w:t xml:space="preserve">4.3 </w:t>
      </w:r>
      <w:r w:rsidRPr="00CC6027">
        <w:rPr>
          <w:rFonts w:cs="Arial"/>
          <w:i/>
          <w:sz w:val="22"/>
          <w:szCs w:val="22"/>
        </w:rPr>
        <w:t>Protect industrial land, including in the regional cities (</w:t>
      </w:r>
      <w:proofErr w:type="spellStart"/>
      <w:r w:rsidRPr="00CC6027">
        <w:rPr>
          <w:rFonts w:cs="Arial"/>
          <w:i/>
          <w:sz w:val="22"/>
          <w:szCs w:val="22"/>
        </w:rPr>
        <w:t>Bomen</w:t>
      </w:r>
      <w:proofErr w:type="spellEnd"/>
      <w:r w:rsidRPr="00CC6027">
        <w:rPr>
          <w:rFonts w:cs="Arial"/>
          <w:i/>
          <w:sz w:val="22"/>
          <w:szCs w:val="22"/>
        </w:rPr>
        <w:t xml:space="preserve">, Nexus and Tharbogang) from potential land use conflicts arising from inappropriate and incompatible surrounding land uses. </w:t>
      </w:r>
    </w:p>
    <w:p w14:paraId="4F4D660C" w14:textId="08FD69F2" w:rsidR="00A94B21" w:rsidRPr="00CC6027" w:rsidRDefault="00A94B21" w:rsidP="00A94B21">
      <w:pPr>
        <w:tabs>
          <w:tab w:val="left" w:pos="2520"/>
        </w:tabs>
        <w:spacing w:after="120"/>
        <w:rPr>
          <w:rFonts w:cs="Arial"/>
          <w:sz w:val="22"/>
          <w:szCs w:val="22"/>
        </w:rPr>
      </w:pPr>
      <w:r w:rsidRPr="00CC6027">
        <w:rPr>
          <w:rFonts w:cs="Arial"/>
          <w:sz w:val="22"/>
          <w:szCs w:val="22"/>
        </w:rPr>
        <w:t xml:space="preserve">The Regional Plan states that ongoing investment and development of the </w:t>
      </w:r>
      <w:proofErr w:type="spellStart"/>
      <w:r w:rsidRPr="00CC6027">
        <w:rPr>
          <w:rFonts w:cs="Arial"/>
          <w:sz w:val="22"/>
          <w:szCs w:val="22"/>
        </w:rPr>
        <w:t>Bomen</w:t>
      </w:r>
      <w:proofErr w:type="spellEnd"/>
      <w:r w:rsidRPr="00CC6027">
        <w:rPr>
          <w:rFonts w:cs="Arial"/>
          <w:sz w:val="22"/>
          <w:szCs w:val="22"/>
        </w:rPr>
        <w:t xml:space="preserve"> area will contribute significantly to jobs and economic growth. It notes that the encroachment of incompatible activities on industrial land will need to be managed.</w:t>
      </w:r>
      <w:r w:rsidR="00CC6027">
        <w:rPr>
          <w:rFonts w:cs="Arial"/>
          <w:sz w:val="22"/>
          <w:szCs w:val="22"/>
        </w:rPr>
        <w:t xml:space="preserve"> The outcomes of the planning proposal, to restrict additional residential development, will ensure that incompatible uses and activities on adjoining land will be avoided. </w:t>
      </w:r>
    </w:p>
    <w:p w14:paraId="6750B10D" w14:textId="7E275E8E" w:rsidR="00A94B21" w:rsidRDefault="00A94B21" w:rsidP="00A94B21">
      <w:pPr>
        <w:tabs>
          <w:tab w:val="left" w:pos="2520"/>
        </w:tabs>
        <w:spacing w:after="120"/>
        <w:rPr>
          <w:rFonts w:cs="Arial"/>
          <w:sz w:val="22"/>
          <w:szCs w:val="22"/>
        </w:rPr>
      </w:pPr>
      <w:r w:rsidRPr="00CC6027">
        <w:rPr>
          <w:rFonts w:cs="Arial"/>
          <w:sz w:val="22"/>
          <w:szCs w:val="22"/>
        </w:rPr>
        <w:t xml:space="preserve">The planning proposal also </w:t>
      </w:r>
      <w:r w:rsidR="00AA72C5">
        <w:rPr>
          <w:rFonts w:cs="Arial"/>
          <w:sz w:val="22"/>
          <w:szCs w:val="22"/>
        </w:rPr>
        <w:t>demonstrates</w:t>
      </w:r>
      <w:r w:rsidRPr="00CC6027">
        <w:rPr>
          <w:rFonts w:cs="Arial"/>
          <w:sz w:val="22"/>
          <w:szCs w:val="22"/>
        </w:rPr>
        <w:t xml:space="preserve"> how the Special Activation Precinct implements and supports the </w:t>
      </w:r>
      <w:r w:rsidR="00CC6027">
        <w:rPr>
          <w:rFonts w:cs="Arial"/>
          <w:sz w:val="22"/>
          <w:szCs w:val="22"/>
        </w:rPr>
        <w:t xml:space="preserve">following actions in the </w:t>
      </w:r>
      <w:r w:rsidRPr="00CC6027">
        <w:rPr>
          <w:rFonts w:cs="Arial"/>
          <w:sz w:val="22"/>
          <w:szCs w:val="22"/>
        </w:rPr>
        <w:t>Regional Plan</w:t>
      </w:r>
      <w:r w:rsidR="00CC6027">
        <w:rPr>
          <w:rFonts w:cs="Arial"/>
          <w:sz w:val="22"/>
          <w:szCs w:val="22"/>
        </w:rPr>
        <w:t>;</w:t>
      </w:r>
    </w:p>
    <w:p w14:paraId="3A8F3D71" w14:textId="2A18CD6C" w:rsidR="00CC6027" w:rsidRPr="00CC6027" w:rsidRDefault="00CC6027" w:rsidP="00CC6027">
      <w:pPr>
        <w:pStyle w:val="Default"/>
        <w:numPr>
          <w:ilvl w:val="0"/>
          <w:numId w:val="11"/>
        </w:numPr>
        <w:spacing w:after="21"/>
        <w:ind w:left="851"/>
        <w:rPr>
          <w:rFonts w:ascii="Arial" w:hAnsi="Arial" w:cs="Arial"/>
          <w:sz w:val="22"/>
          <w:szCs w:val="22"/>
        </w:rPr>
      </w:pPr>
      <w:r>
        <w:rPr>
          <w:rFonts w:ascii="Arial" w:hAnsi="Arial" w:cs="Arial"/>
          <w:sz w:val="22"/>
          <w:szCs w:val="22"/>
        </w:rPr>
        <w:t xml:space="preserve">Action 3.3 - </w:t>
      </w:r>
      <w:r w:rsidRPr="00CC6027">
        <w:rPr>
          <w:rFonts w:ascii="Arial" w:hAnsi="Arial" w:cs="Arial"/>
          <w:sz w:val="22"/>
          <w:szCs w:val="22"/>
        </w:rPr>
        <w:t>Encourage co-location of related advanced and value-added manufacturing industries to maximise efficiency and infrastructure use, decrease supply chain costs, increase economi</w:t>
      </w:r>
      <w:r w:rsidR="008B5508">
        <w:rPr>
          <w:rFonts w:ascii="Arial" w:hAnsi="Arial" w:cs="Arial"/>
          <w:sz w:val="22"/>
          <w:szCs w:val="22"/>
        </w:rPr>
        <w:t>e</w:t>
      </w:r>
      <w:r w:rsidRPr="00CC6027">
        <w:rPr>
          <w:rFonts w:ascii="Arial" w:hAnsi="Arial" w:cs="Arial"/>
          <w:sz w:val="22"/>
          <w:szCs w:val="22"/>
        </w:rPr>
        <w:t xml:space="preserve">s of scale and attract further investment. </w:t>
      </w:r>
    </w:p>
    <w:p w14:paraId="2434E24F" w14:textId="30CE6F96" w:rsidR="00CC6027" w:rsidRPr="00CC6027" w:rsidRDefault="00CC6027" w:rsidP="00CC6027">
      <w:pPr>
        <w:pStyle w:val="Default"/>
        <w:numPr>
          <w:ilvl w:val="1"/>
          <w:numId w:val="11"/>
        </w:numPr>
        <w:spacing w:after="21"/>
        <w:ind w:left="851"/>
        <w:rPr>
          <w:rFonts w:ascii="Arial" w:hAnsi="Arial" w:cs="Arial"/>
          <w:sz w:val="22"/>
          <w:szCs w:val="22"/>
        </w:rPr>
      </w:pPr>
      <w:r>
        <w:rPr>
          <w:rFonts w:ascii="Arial" w:hAnsi="Arial" w:cs="Arial"/>
          <w:sz w:val="22"/>
          <w:szCs w:val="22"/>
        </w:rPr>
        <w:t xml:space="preserve">Action 4.1 - </w:t>
      </w:r>
      <w:r w:rsidRPr="00CC6027">
        <w:rPr>
          <w:rFonts w:ascii="Arial" w:hAnsi="Arial" w:cs="Arial"/>
          <w:sz w:val="22"/>
          <w:szCs w:val="22"/>
        </w:rPr>
        <w:t xml:space="preserve">Encourage the sustainable development of industrial land to maximise the use of infrastructure and connectivity to the existing freight network. </w:t>
      </w:r>
    </w:p>
    <w:p w14:paraId="1BDAA467" w14:textId="0B0681D8" w:rsidR="00CC6027" w:rsidRPr="00CC6027" w:rsidRDefault="00CC6027" w:rsidP="00CC6027">
      <w:pPr>
        <w:pStyle w:val="Default"/>
        <w:numPr>
          <w:ilvl w:val="1"/>
          <w:numId w:val="11"/>
        </w:numPr>
        <w:spacing w:after="21"/>
        <w:ind w:left="851"/>
        <w:rPr>
          <w:rFonts w:ascii="Arial" w:hAnsi="Arial" w:cs="Arial"/>
          <w:sz w:val="22"/>
          <w:szCs w:val="22"/>
        </w:rPr>
      </w:pPr>
      <w:r>
        <w:rPr>
          <w:rFonts w:ascii="Arial" w:hAnsi="Arial" w:cs="Arial"/>
          <w:sz w:val="22"/>
          <w:szCs w:val="22"/>
        </w:rPr>
        <w:t xml:space="preserve">Action 4.2 - </w:t>
      </w:r>
      <w:r w:rsidRPr="00CC6027">
        <w:rPr>
          <w:rFonts w:ascii="Arial" w:hAnsi="Arial" w:cs="Arial"/>
          <w:sz w:val="22"/>
          <w:szCs w:val="22"/>
        </w:rPr>
        <w:t xml:space="preserve">Promote specialised employment clusters and co-location of related employment generators in local plans. </w:t>
      </w:r>
    </w:p>
    <w:p w14:paraId="2DE1C3A2" w14:textId="3EFD0612" w:rsidR="00CC6027" w:rsidRPr="00CC6027" w:rsidRDefault="00CC6027" w:rsidP="00CC6027">
      <w:pPr>
        <w:pStyle w:val="Default"/>
        <w:numPr>
          <w:ilvl w:val="1"/>
          <w:numId w:val="11"/>
        </w:numPr>
        <w:ind w:left="851"/>
        <w:rPr>
          <w:rFonts w:ascii="Arial" w:hAnsi="Arial" w:cs="Arial"/>
          <w:sz w:val="22"/>
          <w:szCs w:val="22"/>
        </w:rPr>
      </w:pPr>
      <w:r>
        <w:rPr>
          <w:rFonts w:ascii="Arial" w:hAnsi="Arial" w:cs="Arial"/>
          <w:sz w:val="22"/>
          <w:szCs w:val="22"/>
        </w:rPr>
        <w:t xml:space="preserve">Action 4.5 - </w:t>
      </w:r>
      <w:r w:rsidRPr="00CC6027">
        <w:rPr>
          <w:rFonts w:ascii="Arial" w:hAnsi="Arial" w:cs="Arial"/>
          <w:sz w:val="22"/>
          <w:szCs w:val="22"/>
        </w:rPr>
        <w:t xml:space="preserve">Monitor the supply and demand of employment and industrial land in regional cities to inform the planning and coordination of utility infrastructure to support new development. </w:t>
      </w:r>
    </w:p>
    <w:p w14:paraId="1DA51FA2" w14:textId="77777777" w:rsidR="00A94B21" w:rsidRPr="00CC6027" w:rsidRDefault="00A94B21" w:rsidP="00A94B21">
      <w:pPr>
        <w:tabs>
          <w:tab w:val="left" w:pos="2520"/>
        </w:tabs>
        <w:spacing w:before="120"/>
        <w:rPr>
          <w:rFonts w:cs="Arial"/>
          <w:b/>
          <w:sz w:val="22"/>
          <w:szCs w:val="22"/>
        </w:rPr>
      </w:pPr>
      <w:r w:rsidRPr="00CC6027">
        <w:rPr>
          <w:rFonts w:cs="Arial"/>
          <w:b/>
          <w:sz w:val="22"/>
          <w:szCs w:val="22"/>
        </w:rPr>
        <w:lastRenderedPageBreak/>
        <w:t>4.3 Local</w:t>
      </w:r>
    </w:p>
    <w:p w14:paraId="62BB5082" w14:textId="77777777" w:rsidR="00A94B21" w:rsidRPr="00CC6027" w:rsidRDefault="00A94B21" w:rsidP="00A94B21">
      <w:pPr>
        <w:tabs>
          <w:tab w:val="left" w:pos="2520"/>
        </w:tabs>
        <w:spacing w:after="120"/>
        <w:rPr>
          <w:rFonts w:cs="Arial"/>
          <w:sz w:val="22"/>
          <w:szCs w:val="22"/>
        </w:rPr>
      </w:pPr>
      <w:r w:rsidRPr="00CC6027">
        <w:rPr>
          <w:rFonts w:cs="Arial"/>
          <w:sz w:val="22"/>
          <w:szCs w:val="22"/>
        </w:rPr>
        <w:t>The planning proposal is consistent with local strategies.</w:t>
      </w:r>
    </w:p>
    <w:p w14:paraId="470C7014" w14:textId="74672AC7" w:rsidR="00A94B21" w:rsidRDefault="00A94B21" w:rsidP="00A94B21">
      <w:pPr>
        <w:tabs>
          <w:tab w:val="left" w:pos="2520"/>
        </w:tabs>
        <w:spacing w:after="120"/>
        <w:rPr>
          <w:rFonts w:cs="Arial"/>
          <w:sz w:val="22"/>
          <w:szCs w:val="22"/>
        </w:rPr>
      </w:pPr>
      <w:r w:rsidRPr="00CC6027">
        <w:rPr>
          <w:rFonts w:cs="Arial"/>
          <w:sz w:val="22"/>
          <w:szCs w:val="22"/>
        </w:rPr>
        <w:t xml:space="preserve">The </w:t>
      </w:r>
      <w:r w:rsidRPr="00CC6027">
        <w:rPr>
          <w:rFonts w:cs="Arial"/>
          <w:i/>
          <w:sz w:val="22"/>
          <w:szCs w:val="22"/>
        </w:rPr>
        <w:t>Wagga Wagga Spatial Plan 2013-2043</w:t>
      </w:r>
      <w:r w:rsidRPr="00CC6027">
        <w:rPr>
          <w:rFonts w:cs="Arial"/>
          <w:sz w:val="22"/>
          <w:szCs w:val="22"/>
        </w:rPr>
        <w:t xml:space="preserve"> identifies the </w:t>
      </w:r>
      <w:proofErr w:type="spellStart"/>
      <w:r w:rsidRPr="00CC6027">
        <w:rPr>
          <w:rFonts w:cs="Arial"/>
          <w:sz w:val="22"/>
          <w:szCs w:val="22"/>
        </w:rPr>
        <w:t>Bomen</w:t>
      </w:r>
      <w:proofErr w:type="spellEnd"/>
      <w:r w:rsidRPr="00CC6027">
        <w:rPr>
          <w:rFonts w:cs="Arial"/>
          <w:sz w:val="22"/>
          <w:szCs w:val="22"/>
        </w:rPr>
        <w:t xml:space="preserve"> Business Park as a key area for the future development of the city. The planning proposal states that “</w:t>
      </w:r>
      <w:r w:rsidRPr="00CC6027">
        <w:rPr>
          <w:rFonts w:cs="Arial"/>
          <w:i/>
          <w:sz w:val="22"/>
          <w:szCs w:val="22"/>
        </w:rPr>
        <w:t xml:space="preserve">the proposed amendment to the Wagga Wagga LEP 2010 will preserve </w:t>
      </w:r>
      <w:r>
        <w:rPr>
          <w:rFonts w:cs="Arial"/>
          <w:i/>
          <w:sz w:val="22"/>
          <w:szCs w:val="22"/>
        </w:rPr>
        <w:t>the full extent of development opportunities within the Wagga Wagga Special Activation precinct to support achieving this intent and therefore aligns with the Strategy.</w:t>
      </w:r>
      <w:r>
        <w:rPr>
          <w:rFonts w:cs="Arial"/>
          <w:sz w:val="22"/>
          <w:szCs w:val="22"/>
        </w:rPr>
        <w:t xml:space="preserve">” </w:t>
      </w:r>
      <w:r w:rsidRPr="00941189">
        <w:rPr>
          <w:rFonts w:cs="Arial"/>
          <w:sz w:val="22"/>
          <w:szCs w:val="22"/>
        </w:rPr>
        <w:t xml:space="preserve">The Spatial Plan was endorsed by the </w:t>
      </w:r>
      <w:r w:rsidR="00C06C08" w:rsidRPr="00941189">
        <w:rPr>
          <w:rFonts w:cs="Arial"/>
          <w:sz w:val="22"/>
          <w:szCs w:val="22"/>
        </w:rPr>
        <w:t>Deputy Director General</w:t>
      </w:r>
      <w:r w:rsidR="00025772" w:rsidRPr="00941189">
        <w:rPr>
          <w:rFonts w:cs="Arial"/>
          <w:sz w:val="22"/>
          <w:szCs w:val="22"/>
        </w:rPr>
        <w:t xml:space="preserve"> in</w:t>
      </w:r>
      <w:r w:rsidR="00C06C08" w:rsidRPr="00941189">
        <w:rPr>
          <w:rFonts w:cs="Arial"/>
          <w:sz w:val="22"/>
          <w:szCs w:val="22"/>
        </w:rPr>
        <w:t xml:space="preserve"> 2014 without condition</w:t>
      </w:r>
      <w:r w:rsidR="00CA4DF8">
        <w:rPr>
          <w:rFonts w:cs="Arial"/>
          <w:sz w:val="22"/>
          <w:szCs w:val="22"/>
        </w:rPr>
        <w:t>s</w:t>
      </w:r>
      <w:r w:rsidRPr="00941189">
        <w:rPr>
          <w:rFonts w:cs="Arial"/>
          <w:sz w:val="22"/>
          <w:szCs w:val="22"/>
        </w:rPr>
        <w:t>.</w:t>
      </w:r>
    </w:p>
    <w:p w14:paraId="43349BD6" w14:textId="77777777" w:rsidR="00A94B21" w:rsidRDefault="00A94B21" w:rsidP="00A94B21">
      <w:pPr>
        <w:tabs>
          <w:tab w:val="left" w:pos="2520"/>
        </w:tabs>
        <w:spacing w:after="120"/>
        <w:rPr>
          <w:rFonts w:cs="Arial"/>
          <w:sz w:val="22"/>
          <w:szCs w:val="22"/>
        </w:rPr>
      </w:pPr>
      <w:r>
        <w:rPr>
          <w:rFonts w:cs="Arial"/>
          <w:sz w:val="22"/>
          <w:szCs w:val="22"/>
        </w:rPr>
        <w:t xml:space="preserve">The </w:t>
      </w:r>
      <w:r>
        <w:rPr>
          <w:rFonts w:cs="Arial"/>
          <w:i/>
          <w:sz w:val="22"/>
          <w:szCs w:val="22"/>
        </w:rPr>
        <w:t>Wagga Wagga Transport Strategy and Implementation Plan</w:t>
      </w:r>
      <w:r>
        <w:rPr>
          <w:rFonts w:cs="Arial"/>
          <w:sz w:val="22"/>
          <w:szCs w:val="22"/>
        </w:rPr>
        <w:t xml:space="preserve"> (2017) includes a priority to establish </w:t>
      </w:r>
      <w:proofErr w:type="spellStart"/>
      <w:r>
        <w:rPr>
          <w:rFonts w:cs="Arial"/>
          <w:sz w:val="22"/>
          <w:szCs w:val="22"/>
        </w:rPr>
        <w:t>Bomen</w:t>
      </w:r>
      <w:proofErr w:type="spellEnd"/>
      <w:r>
        <w:rPr>
          <w:rFonts w:cs="Arial"/>
          <w:sz w:val="22"/>
          <w:szCs w:val="22"/>
        </w:rPr>
        <w:t xml:space="preserve"> as an intermodal hub connected to the Inland Rail Network, making the location of the SAP one of the most important freight and logistic destinations and hubs in Australia. The planning proposal states that “</w:t>
      </w:r>
      <w:r>
        <w:rPr>
          <w:rFonts w:cs="Arial"/>
          <w:i/>
          <w:sz w:val="22"/>
          <w:szCs w:val="22"/>
        </w:rPr>
        <w:t xml:space="preserve">one of the key actions of the plan requires the protection of the </w:t>
      </w:r>
      <w:proofErr w:type="spellStart"/>
      <w:r>
        <w:rPr>
          <w:rFonts w:cs="Arial"/>
          <w:i/>
          <w:sz w:val="22"/>
          <w:szCs w:val="22"/>
        </w:rPr>
        <w:t>Bomen</w:t>
      </w:r>
      <w:proofErr w:type="spellEnd"/>
      <w:r>
        <w:rPr>
          <w:rFonts w:cs="Arial"/>
          <w:i/>
          <w:sz w:val="22"/>
          <w:szCs w:val="22"/>
        </w:rPr>
        <w:t xml:space="preserve"> Business Park from inappropriate development and the prevention of land use conflict.</w:t>
      </w:r>
      <w:r>
        <w:rPr>
          <w:rFonts w:cs="Arial"/>
          <w:sz w:val="22"/>
          <w:szCs w:val="22"/>
        </w:rPr>
        <w:t xml:space="preserve">” </w:t>
      </w:r>
    </w:p>
    <w:p w14:paraId="544B4226" w14:textId="77777777" w:rsidR="00A94B21" w:rsidRDefault="00A94B21" w:rsidP="00A94B21">
      <w:pPr>
        <w:tabs>
          <w:tab w:val="left" w:pos="2520"/>
        </w:tabs>
        <w:spacing w:before="120"/>
        <w:rPr>
          <w:rFonts w:cs="Arial"/>
          <w:b/>
          <w:sz w:val="22"/>
          <w:szCs w:val="22"/>
        </w:rPr>
      </w:pPr>
      <w:r>
        <w:rPr>
          <w:rFonts w:cs="Arial"/>
          <w:b/>
          <w:sz w:val="22"/>
          <w:szCs w:val="22"/>
        </w:rPr>
        <w:t>4.4 Section 9.1 Ministerial Directions</w:t>
      </w:r>
    </w:p>
    <w:p w14:paraId="66358ABD" w14:textId="136C53B8" w:rsidR="00A94B21" w:rsidRDefault="00A94B21" w:rsidP="00A94B21">
      <w:pPr>
        <w:tabs>
          <w:tab w:val="left" w:pos="2520"/>
        </w:tabs>
        <w:spacing w:after="120"/>
        <w:rPr>
          <w:rFonts w:cs="Arial"/>
          <w:sz w:val="22"/>
          <w:szCs w:val="22"/>
        </w:rPr>
      </w:pPr>
      <w:r>
        <w:rPr>
          <w:rFonts w:cs="Arial"/>
          <w:sz w:val="22"/>
          <w:szCs w:val="22"/>
        </w:rPr>
        <w:t>Council has identified the</w:t>
      </w:r>
      <w:r w:rsidR="007E7037">
        <w:rPr>
          <w:rFonts w:cs="Arial"/>
          <w:sz w:val="22"/>
          <w:szCs w:val="22"/>
        </w:rPr>
        <w:t>re are no inconsistencies with the</w:t>
      </w:r>
      <w:r>
        <w:rPr>
          <w:rFonts w:cs="Arial"/>
          <w:sz w:val="22"/>
          <w:szCs w:val="22"/>
        </w:rPr>
        <w:t xml:space="preserve"> following Ministerial Directions</w:t>
      </w:r>
      <w:r w:rsidR="007E7037">
        <w:rPr>
          <w:rFonts w:cs="Arial"/>
          <w:sz w:val="22"/>
          <w:szCs w:val="22"/>
        </w:rPr>
        <w:t>:</w:t>
      </w:r>
    </w:p>
    <w:p w14:paraId="2F1853D2" w14:textId="77777777" w:rsidR="00A94B21" w:rsidRDefault="00A94B21" w:rsidP="00A94B21">
      <w:pPr>
        <w:rPr>
          <w:rFonts w:ascii="Calibri" w:eastAsia="Calibri" w:hAnsi="Calibri" w:cs="Arial"/>
          <w:sz w:val="22"/>
          <w:szCs w:val="22"/>
          <w:lang w:eastAsia="en-US"/>
        </w:rPr>
        <w:sectPr w:rsidR="00A94B21">
          <w:type w:val="continuous"/>
          <w:pgSz w:w="11906" w:h="16838"/>
          <w:pgMar w:top="993" w:right="1440" w:bottom="1135" w:left="1440" w:header="709" w:footer="709" w:gutter="0"/>
          <w:cols w:space="720"/>
        </w:sectPr>
      </w:pPr>
    </w:p>
    <w:p w14:paraId="53546CFD"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1.1 Business and Industrial Zones</w:t>
      </w:r>
    </w:p>
    <w:p w14:paraId="68E60D9C"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1.2 Rural Zones</w:t>
      </w:r>
    </w:p>
    <w:p w14:paraId="5CA5027F"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1.5 Rural Lands</w:t>
      </w:r>
    </w:p>
    <w:p w14:paraId="415DA066"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2.1 Environment Protection Zones</w:t>
      </w:r>
    </w:p>
    <w:p w14:paraId="3FDF2FDD"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2.3 Heritage Conservation</w:t>
      </w:r>
    </w:p>
    <w:p w14:paraId="703BFDB6"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2.4 Recreation Vehicle Areas</w:t>
      </w:r>
    </w:p>
    <w:p w14:paraId="1AD3DEA6"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3.2 Caravan Parks and Manufactured Home Estates</w:t>
      </w:r>
    </w:p>
    <w:p w14:paraId="4D113ECD"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3.3 Home Occupations</w:t>
      </w:r>
    </w:p>
    <w:p w14:paraId="29A316AA"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3.4 Integrating Land Use and Transport</w:t>
      </w:r>
    </w:p>
    <w:p w14:paraId="70A94994"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4.3 Flood Prone Land</w:t>
      </w:r>
    </w:p>
    <w:p w14:paraId="29789A18" w14:textId="77777777" w:rsidR="00A94B21" w:rsidRDefault="00A94B21" w:rsidP="00A94B21">
      <w:pPr>
        <w:pStyle w:val="ListParagraph"/>
        <w:numPr>
          <w:ilvl w:val="0"/>
          <w:numId w:val="3"/>
        </w:numPr>
        <w:tabs>
          <w:tab w:val="left" w:pos="2520"/>
        </w:tabs>
        <w:ind w:left="284" w:hanging="357"/>
        <w:rPr>
          <w:rFonts w:ascii="Arial" w:hAnsi="Arial" w:cs="Arial"/>
        </w:rPr>
      </w:pPr>
      <w:r>
        <w:rPr>
          <w:rFonts w:ascii="Arial" w:hAnsi="Arial" w:cs="Arial"/>
        </w:rPr>
        <w:t>5.10 Implementation of Regional Plans</w:t>
      </w:r>
    </w:p>
    <w:p w14:paraId="12BC50C8" w14:textId="77777777" w:rsidR="00A94B21" w:rsidRDefault="00A94B21" w:rsidP="00A94B21">
      <w:pPr>
        <w:pStyle w:val="ListParagraph"/>
        <w:numPr>
          <w:ilvl w:val="0"/>
          <w:numId w:val="3"/>
        </w:numPr>
        <w:tabs>
          <w:tab w:val="left" w:pos="2520"/>
        </w:tabs>
        <w:spacing w:after="120"/>
        <w:ind w:left="284" w:hanging="357"/>
        <w:rPr>
          <w:rFonts w:ascii="Arial" w:hAnsi="Arial" w:cs="Arial"/>
          <w:sz w:val="20"/>
          <w:szCs w:val="20"/>
        </w:rPr>
      </w:pPr>
      <w:r>
        <w:rPr>
          <w:rFonts w:ascii="Arial" w:hAnsi="Arial" w:cs="Arial"/>
        </w:rPr>
        <w:t>6.1 Approval and Referral Requirements</w:t>
      </w:r>
      <w:r>
        <w:rPr>
          <w:rFonts w:ascii="Arial" w:hAnsi="Arial" w:cs="Arial"/>
          <w:sz w:val="20"/>
          <w:szCs w:val="20"/>
        </w:rPr>
        <w:t xml:space="preserve"> </w:t>
      </w:r>
    </w:p>
    <w:p w14:paraId="5D73B5C3" w14:textId="77777777" w:rsidR="00A94B21" w:rsidRDefault="00A94B21" w:rsidP="00A94B21">
      <w:pPr>
        <w:rPr>
          <w:rFonts w:cs="Arial"/>
          <w:sz w:val="22"/>
          <w:szCs w:val="22"/>
        </w:rPr>
        <w:sectPr w:rsidR="00A94B21">
          <w:type w:val="continuous"/>
          <w:pgSz w:w="11906" w:h="16838"/>
          <w:pgMar w:top="993" w:right="1440" w:bottom="1135" w:left="1440" w:header="709" w:footer="709" w:gutter="0"/>
          <w:cols w:num="2" w:space="708"/>
        </w:sectPr>
      </w:pPr>
    </w:p>
    <w:p w14:paraId="2387CE67" w14:textId="078768CB" w:rsidR="00F97038" w:rsidRDefault="00A94B21" w:rsidP="00A94B21">
      <w:pPr>
        <w:tabs>
          <w:tab w:val="left" w:pos="2520"/>
        </w:tabs>
        <w:spacing w:before="120" w:after="120"/>
        <w:rPr>
          <w:rFonts w:cs="Arial"/>
          <w:sz w:val="22"/>
          <w:szCs w:val="22"/>
        </w:rPr>
      </w:pPr>
      <w:r>
        <w:rPr>
          <w:rFonts w:cs="Arial"/>
          <w:sz w:val="22"/>
          <w:szCs w:val="22"/>
        </w:rPr>
        <w:t>The</w:t>
      </w:r>
      <w:r w:rsidR="00CA4B90">
        <w:rPr>
          <w:rFonts w:cs="Arial"/>
          <w:sz w:val="22"/>
          <w:szCs w:val="22"/>
        </w:rPr>
        <w:t xml:space="preserve"> assessment provided </w:t>
      </w:r>
      <w:r w:rsidR="00567A07">
        <w:rPr>
          <w:rFonts w:cs="Arial"/>
          <w:sz w:val="22"/>
          <w:szCs w:val="22"/>
        </w:rPr>
        <w:t xml:space="preserve">in the planning proposal </w:t>
      </w:r>
      <w:proofErr w:type="gramStart"/>
      <w:r w:rsidR="00567A07">
        <w:rPr>
          <w:rFonts w:cs="Arial"/>
          <w:sz w:val="22"/>
          <w:szCs w:val="22"/>
        </w:rPr>
        <w:t>is considered to be</w:t>
      </w:r>
      <w:proofErr w:type="gramEnd"/>
      <w:r w:rsidR="00567A07">
        <w:rPr>
          <w:rFonts w:cs="Arial"/>
          <w:sz w:val="22"/>
          <w:szCs w:val="22"/>
        </w:rPr>
        <w:t xml:space="preserve"> appropriate. The </w:t>
      </w:r>
      <w:r w:rsidR="00467A1D">
        <w:rPr>
          <w:rFonts w:cs="Arial"/>
          <w:sz w:val="22"/>
          <w:szCs w:val="22"/>
        </w:rPr>
        <w:t>planning proposal has</w:t>
      </w:r>
      <w:r w:rsidR="00567A07">
        <w:rPr>
          <w:rFonts w:cs="Arial"/>
          <w:sz w:val="22"/>
          <w:szCs w:val="22"/>
        </w:rPr>
        <w:t xml:space="preserve"> provided </w:t>
      </w:r>
      <w:r w:rsidR="00467A1D">
        <w:rPr>
          <w:rFonts w:cs="Arial"/>
          <w:sz w:val="22"/>
          <w:szCs w:val="22"/>
        </w:rPr>
        <w:t xml:space="preserve">an assessment </w:t>
      </w:r>
      <w:r w:rsidR="00567A07">
        <w:rPr>
          <w:rFonts w:cs="Arial"/>
          <w:sz w:val="22"/>
          <w:szCs w:val="22"/>
        </w:rPr>
        <w:t xml:space="preserve">for each </w:t>
      </w:r>
      <w:r w:rsidR="00467A1D">
        <w:rPr>
          <w:rFonts w:cs="Arial"/>
          <w:sz w:val="22"/>
          <w:szCs w:val="22"/>
        </w:rPr>
        <w:t>D</w:t>
      </w:r>
      <w:r w:rsidR="00567A07">
        <w:rPr>
          <w:rFonts w:cs="Arial"/>
          <w:sz w:val="22"/>
          <w:szCs w:val="22"/>
        </w:rPr>
        <w:t>irection,</w:t>
      </w:r>
      <w:r w:rsidR="00467A1D">
        <w:rPr>
          <w:rFonts w:cs="Arial"/>
          <w:sz w:val="22"/>
          <w:szCs w:val="22"/>
        </w:rPr>
        <w:t xml:space="preserve"> these have been</w:t>
      </w:r>
      <w:r w:rsidR="00567A07">
        <w:rPr>
          <w:rFonts w:cs="Arial"/>
          <w:sz w:val="22"/>
          <w:szCs w:val="22"/>
        </w:rPr>
        <w:t xml:space="preserve"> clearly articulate</w:t>
      </w:r>
      <w:r w:rsidR="007F790E">
        <w:rPr>
          <w:rFonts w:cs="Arial"/>
          <w:sz w:val="22"/>
          <w:szCs w:val="22"/>
        </w:rPr>
        <w:t>d</w:t>
      </w:r>
      <w:r w:rsidR="00567A07">
        <w:rPr>
          <w:rFonts w:cs="Arial"/>
          <w:sz w:val="22"/>
          <w:szCs w:val="22"/>
        </w:rPr>
        <w:t xml:space="preserve"> </w:t>
      </w:r>
      <w:r w:rsidR="00467A1D">
        <w:rPr>
          <w:rFonts w:cs="Arial"/>
          <w:sz w:val="22"/>
          <w:szCs w:val="22"/>
        </w:rPr>
        <w:t>and there are</w:t>
      </w:r>
      <w:r w:rsidR="00F97038">
        <w:rPr>
          <w:rFonts w:cs="Arial"/>
          <w:sz w:val="22"/>
          <w:szCs w:val="22"/>
        </w:rPr>
        <w:t xml:space="preserve"> no inconsistencies with the above identified </w:t>
      </w:r>
      <w:r w:rsidR="00467A1D">
        <w:rPr>
          <w:rFonts w:cs="Arial"/>
          <w:sz w:val="22"/>
          <w:szCs w:val="22"/>
        </w:rPr>
        <w:t>D</w:t>
      </w:r>
      <w:r w:rsidR="00F97038">
        <w:rPr>
          <w:rFonts w:cs="Arial"/>
          <w:sz w:val="22"/>
          <w:szCs w:val="22"/>
        </w:rPr>
        <w:t>irections</w:t>
      </w:r>
      <w:r w:rsidR="00467A1D">
        <w:rPr>
          <w:rFonts w:cs="Arial"/>
          <w:sz w:val="22"/>
          <w:szCs w:val="22"/>
        </w:rPr>
        <w:t>.</w:t>
      </w:r>
    </w:p>
    <w:p w14:paraId="7FAB1283" w14:textId="1F244FD4" w:rsidR="00F97038" w:rsidRPr="00F97038" w:rsidRDefault="00F97038" w:rsidP="00A94B21">
      <w:pPr>
        <w:tabs>
          <w:tab w:val="left" w:pos="2520"/>
        </w:tabs>
        <w:spacing w:before="120" w:after="120"/>
        <w:rPr>
          <w:rFonts w:cs="Arial"/>
          <w:sz w:val="22"/>
          <w:szCs w:val="22"/>
          <w:u w:val="single"/>
        </w:rPr>
      </w:pPr>
      <w:r>
        <w:rPr>
          <w:rFonts w:cs="Arial"/>
          <w:sz w:val="22"/>
          <w:szCs w:val="22"/>
          <w:u w:val="single"/>
        </w:rPr>
        <w:t xml:space="preserve">Direction </w:t>
      </w:r>
      <w:r w:rsidR="00A94B21" w:rsidRPr="00F97038">
        <w:rPr>
          <w:rFonts w:cs="Arial"/>
          <w:sz w:val="22"/>
          <w:szCs w:val="22"/>
          <w:u w:val="single"/>
        </w:rPr>
        <w:t>3.1 Residential Zones</w:t>
      </w:r>
    </w:p>
    <w:p w14:paraId="7865F700" w14:textId="299C2A3D" w:rsidR="007E7037" w:rsidRDefault="00A94B21" w:rsidP="00A94B21">
      <w:pPr>
        <w:tabs>
          <w:tab w:val="left" w:pos="2520"/>
        </w:tabs>
        <w:spacing w:before="120" w:after="120"/>
        <w:rPr>
          <w:rFonts w:cs="Arial"/>
          <w:sz w:val="22"/>
          <w:szCs w:val="22"/>
        </w:rPr>
      </w:pPr>
      <w:r>
        <w:rPr>
          <w:rFonts w:cs="Arial"/>
          <w:sz w:val="22"/>
          <w:szCs w:val="22"/>
        </w:rPr>
        <w:t xml:space="preserve">The proposal is inconsistent </w:t>
      </w:r>
      <w:r w:rsidR="00F97038">
        <w:rPr>
          <w:rFonts w:cs="Arial"/>
          <w:sz w:val="22"/>
          <w:szCs w:val="22"/>
        </w:rPr>
        <w:t xml:space="preserve">with Direction 3.1, </w:t>
      </w:r>
      <w:r>
        <w:rPr>
          <w:rFonts w:cs="Arial"/>
          <w:sz w:val="22"/>
          <w:szCs w:val="22"/>
        </w:rPr>
        <w:t xml:space="preserve">as it </w:t>
      </w:r>
      <w:r>
        <w:rPr>
          <w:sz w:val="22"/>
          <w:szCs w:val="22"/>
        </w:rPr>
        <w:t>contains provisions that will reduce the permissible density of land.</w:t>
      </w:r>
      <w:r>
        <w:rPr>
          <w:rFonts w:cs="Arial"/>
          <w:sz w:val="22"/>
          <w:szCs w:val="22"/>
        </w:rPr>
        <w:t xml:space="preserve"> However, t</w:t>
      </w:r>
      <w:r>
        <w:rPr>
          <w:sz w:val="22"/>
          <w:szCs w:val="22"/>
        </w:rPr>
        <w:t xml:space="preserve">he Direction states that a planning proposal may be inconsistent with the Direction if it is justified by a strategy or study or it is in accordance with the relevant Regional Strategy. As discussed in section 3 of this report, </w:t>
      </w:r>
      <w:r w:rsidR="007E7037">
        <w:rPr>
          <w:sz w:val="22"/>
          <w:szCs w:val="22"/>
        </w:rPr>
        <w:t>technical</w:t>
      </w:r>
      <w:r>
        <w:rPr>
          <w:sz w:val="22"/>
          <w:szCs w:val="22"/>
        </w:rPr>
        <w:t xml:space="preserve"> studies prepared as part of the Wagga Wagga SAP</w:t>
      </w:r>
      <w:r w:rsidR="007E7037">
        <w:rPr>
          <w:sz w:val="22"/>
          <w:szCs w:val="22"/>
        </w:rPr>
        <w:t xml:space="preserve"> support</w:t>
      </w:r>
      <w:r>
        <w:rPr>
          <w:sz w:val="22"/>
          <w:szCs w:val="22"/>
        </w:rPr>
        <w:t xml:space="preserve"> the </w:t>
      </w:r>
      <w:r w:rsidR="00CA4DF8">
        <w:rPr>
          <w:sz w:val="22"/>
          <w:szCs w:val="22"/>
        </w:rPr>
        <w:t>planning proposal and i</w:t>
      </w:r>
      <w:r>
        <w:rPr>
          <w:rFonts w:cs="Arial"/>
          <w:sz w:val="22"/>
          <w:szCs w:val="22"/>
        </w:rPr>
        <w:t xml:space="preserve">t also </w:t>
      </w:r>
      <w:r w:rsidR="00F97038">
        <w:rPr>
          <w:rFonts w:cs="Arial"/>
          <w:sz w:val="22"/>
          <w:szCs w:val="22"/>
        </w:rPr>
        <w:t>aligns</w:t>
      </w:r>
      <w:r>
        <w:rPr>
          <w:rFonts w:cs="Arial"/>
          <w:sz w:val="22"/>
          <w:szCs w:val="22"/>
        </w:rPr>
        <w:t xml:space="preserve"> with the Riverina Murray Regional Plan</w:t>
      </w:r>
      <w:r w:rsidR="00F97038">
        <w:rPr>
          <w:rFonts w:cs="Arial"/>
          <w:sz w:val="22"/>
          <w:szCs w:val="22"/>
        </w:rPr>
        <w:t xml:space="preserve"> (Action 4.3)</w:t>
      </w:r>
      <w:r>
        <w:rPr>
          <w:rFonts w:cs="Arial"/>
          <w:sz w:val="22"/>
          <w:szCs w:val="22"/>
        </w:rPr>
        <w:t xml:space="preserve"> and Council’s Spatial Plan that was </w:t>
      </w:r>
      <w:r w:rsidR="00CA4DF8">
        <w:rPr>
          <w:rFonts w:cs="Arial"/>
          <w:sz w:val="22"/>
          <w:szCs w:val="22"/>
        </w:rPr>
        <w:t>endorsed b</w:t>
      </w:r>
      <w:r>
        <w:rPr>
          <w:rFonts w:cs="Arial"/>
          <w:sz w:val="22"/>
          <w:szCs w:val="22"/>
        </w:rPr>
        <w:t xml:space="preserve">y the </w:t>
      </w:r>
      <w:r w:rsidR="00CA4DF8">
        <w:rPr>
          <w:rFonts w:cs="Arial"/>
          <w:sz w:val="22"/>
          <w:szCs w:val="22"/>
        </w:rPr>
        <w:t xml:space="preserve">Deputy Director General </w:t>
      </w:r>
      <w:r>
        <w:rPr>
          <w:rFonts w:cs="Arial"/>
          <w:sz w:val="22"/>
          <w:szCs w:val="22"/>
        </w:rPr>
        <w:t>of the Department.</w:t>
      </w:r>
      <w:r w:rsidR="007E7037">
        <w:rPr>
          <w:rFonts w:cs="Arial"/>
          <w:sz w:val="22"/>
          <w:szCs w:val="22"/>
        </w:rPr>
        <w:t xml:space="preserve"> Both strategies aim to protect the </w:t>
      </w:r>
      <w:proofErr w:type="spellStart"/>
      <w:r w:rsidR="007E7037">
        <w:rPr>
          <w:rFonts w:cs="Arial"/>
          <w:sz w:val="22"/>
          <w:szCs w:val="22"/>
        </w:rPr>
        <w:t>Bomen</w:t>
      </w:r>
      <w:proofErr w:type="spellEnd"/>
      <w:r w:rsidR="007E7037">
        <w:rPr>
          <w:rFonts w:cs="Arial"/>
          <w:sz w:val="22"/>
          <w:szCs w:val="22"/>
        </w:rPr>
        <w:t xml:space="preserve"> industrial area (now the Wagga Wagga SAP), from potential land use conflicts and inappropriate land uses. </w:t>
      </w:r>
      <w:r w:rsidR="00CA4B90">
        <w:rPr>
          <w:rFonts w:cs="Arial"/>
          <w:sz w:val="22"/>
          <w:szCs w:val="22"/>
        </w:rPr>
        <w:t xml:space="preserve">Therefore, the inconsistency is justified in accordance with the terms of the Direction. </w:t>
      </w:r>
    </w:p>
    <w:p w14:paraId="2419D708" w14:textId="5E0182D2" w:rsidR="00A94B21" w:rsidRDefault="00A94B21" w:rsidP="00CA4B90">
      <w:pPr>
        <w:tabs>
          <w:tab w:val="left" w:pos="2520"/>
        </w:tabs>
        <w:spacing w:before="120" w:after="120"/>
        <w:rPr>
          <w:rFonts w:cs="Arial"/>
          <w:b/>
          <w:sz w:val="22"/>
          <w:szCs w:val="22"/>
        </w:rPr>
      </w:pPr>
      <w:r>
        <w:rPr>
          <w:rFonts w:cs="Arial"/>
          <w:b/>
          <w:sz w:val="22"/>
          <w:szCs w:val="22"/>
        </w:rPr>
        <w:t>4.5 State environmental planning policies (SEPPs)</w:t>
      </w:r>
    </w:p>
    <w:p w14:paraId="0E5B1218" w14:textId="5D08C79D" w:rsidR="00A94B21" w:rsidRDefault="00A94B21" w:rsidP="0017524A">
      <w:pPr>
        <w:tabs>
          <w:tab w:val="left" w:pos="2520"/>
        </w:tabs>
        <w:spacing w:after="120"/>
        <w:rPr>
          <w:rFonts w:cs="Arial"/>
          <w:sz w:val="22"/>
          <w:szCs w:val="22"/>
        </w:rPr>
      </w:pPr>
      <w:r>
        <w:rPr>
          <w:rFonts w:cs="Arial"/>
          <w:sz w:val="22"/>
          <w:szCs w:val="22"/>
        </w:rPr>
        <w:t xml:space="preserve">The planning proposal supports the intent and delivery of the </w:t>
      </w:r>
      <w:r>
        <w:rPr>
          <w:rFonts w:cs="Arial"/>
          <w:i/>
          <w:sz w:val="22"/>
          <w:szCs w:val="22"/>
        </w:rPr>
        <w:t>State Environmental Planning Policy (Activation Precincts) 2020</w:t>
      </w:r>
      <w:r>
        <w:rPr>
          <w:rFonts w:cs="Arial"/>
          <w:sz w:val="22"/>
          <w:szCs w:val="22"/>
        </w:rPr>
        <w:t>.</w:t>
      </w:r>
      <w:r w:rsidR="006B2EA9">
        <w:rPr>
          <w:rFonts w:cs="Arial"/>
          <w:sz w:val="22"/>
          <w:szCs w:val="22"/>
        </w:rPr>
        <w:t xml:space="preserve"> </w:t>
      </w:r>
    </w:p>
    <w:p w14:paraId="6B2A3E9A" w14:textId="01EA16D9" w:rsidR="00C06C08" w:rsidRPr="0017524A" w:rsidRDefault="00C06C08" w:rsidP="0017524A">
      <w:pPr>
        <w:tabs>
          <w:tab w:val="left" w:pos="2520"/>
        </w:tabs>
        <w:spacing w:after="120"/>
        <w:rPr>
          <w:rFonts w:cs="Arial"/>
          <w:sz w:val="22"/>
          <w:szCs w:val="22"/>
        </w:rPr>
      </w:pPr>
      <w:r w:rsidRPr="0017524A">
        <w:rPr>
          <w:rFonts w:cs="Arial"/>
          <w:sz w:val="22"/>
          <w:szCs w:val="22"/>
        </w:rPr>
        <w:t xml:space="preserve">Whilst the SEPP (Activation Precincts) has not yet been made to reflect the changes in the Wagga SAP area, substantial progress has been made in the preparation of the draft instrument. The </w:t>
      </w:r>
      <w:r w:rsidR="00CA4DF8">
        <w:rPr>
          <w:rFonts w:cs="Arial"/>
          <w:sz w:val="22"/>
          <w:szCs w:val="22"/>
        </w:rPr>
        <w:t>D</w:t>
      </w:r>
      <w:r w:rsidRPr="0017524A">
        <w:rPr>
          <w:rFonts w:cs="Arial"/>
          <w:sz w:val="22"/>
          <w:szCs w:val="22"/>
        </w:rPr>
        <w:t>epartment sought feedback from the community on the Wagga Wagga SAP draft master plan during public exhibition, which closed on 29 September 2020.</w:t>
      </w:r>
    </w:p>
    <w:p w14:paraId="3498C6A8" w14:textId="7A97299E" w:rsidR="00C06C08" w:rsidRPr="0017524A" w:rsidRDefault="00C06C08" w:rsidP="0017524A">
      <w:pPr>
        <w:shd w:val="clear" w:color="auto" w:fill="FFFFFF"/>
        <w:spacing w:after="120"/>
        <w:rPr>
          <w:rFonts w:cs="Arial"/>
          <w:sz w:val="22"/>
          <w:szCs w:val="22"/>
        </w:rPr>
      </w:pPr>
      <w:r w:rsidRPr="0017524A">
        <w:rPr>
          <w:rFonts w:cs="Arial"/>
          <w:sz w:val="22"/>
          <w:szCs w:val="22"/>
        </w:rPr>
        <w:t xml:space="preserve">Accompanying the draft Master Plan is a Discussion Paper (Explanation of Intended Effect) that proposes the addition of the Wagga Wagga SAP to the State Environmental Planning Policy (Activation Precincts) 2020. Adding the Wagga Wagga SAP to the Activation Precincts SEPP would “turn off” the Wagga Wagga LEP for land within the Wagga Wagga </w:t>
      </w:r>
      <w:r w:rsidRPr="0017524A">
        <w:rPr>
          <w:rFonts w:cs="Arial"/>
          <w:sz w:val="22"/>
          <w:szCs w:val="22"/>
        </w:rPr>
        <w:lastRenderedPageBreak/>
        <w:t>SAP, meaning that the Activation Precincts SEPP will become the primary environmental planning instrument for that land.</w:t>
      </w:r>
    </w:p>
    <w:p w14:paraId="6409EFD9" w14:textId="1EDB9C9A" w:rsidR="00C06C08" w:rsidRPr="0017524A" w:rsidRDefault="00CA4DF8" w:rsidP="0017524A">
      <w:pPr>
        <w:shd w:val="clear" w:color="auto" w:fill="FFFFFF"/>
        <w:spacing w:after="120"/>
        <w:rPr>
          <w:rFonts w:cs="Arial"/>
          <w:sz w:val="22"/>
          <w:szCs w:val="22"/>
        </w:rPr>
      </w:pPr>
      <w:r>
        <w:rPr>
          <w:rFonts w:cs="Arial"/>
          <w:sz w:val="22"/>
          <w:szCs w:val="22"/>
        </w:rPr>
        <w:t xml:space="preserve">The SEPP </w:t>
      </w:r>
      <w:r w:rsidR="00C06C08" w:rsidRPr="0017524A">
        <w:rPr>
          <w:rFonts w:cs="Arial"/>
          <w:sz w:val="22"/>
          <w:szCs w:val="22"/>
        </w:rPr>
        <w:t>will establish new land use zones, new controls relating to Exempt, Complying and Designated Development and introduce some new streamlined development application processes for land within the Wagga Wagga Special Activation Precinct.</w:t>
      </w:r>
    </w:p>
    <w:p w14:paraId="56D1E16F" w14:textId="3B646BB9" w:rsidR="00A94B21" w:rsidRDefault="00A94B21" w:rsidP="0017524A">
      <w:pPr>
        <w:tabs>
          <w:tab w:val="left" w:pos="2520"/>
        </w:tabs>
        <w:spacing w:after="120"/>
        <w:rPr>
          <w:rFonts w:cs="Arial"/>
          <w:sz w:val="22"/>
          <w:szCs w:val="22"/>
        </w:rPr>
      </w:pPr>
      <w:r w:rsidRPr="0017524A">
        <w:rPr>
          <w:rFonts w:cs="Arial"/>
          <w:sz w:val="22"/>
          <w:szCs w:val="22"/>
        </w:rPr>
        <w:t>Council’s planning proposal states that it has considered all other SEPPs and no others are relevant to this proposal</w:t>
      </w:r>
      <w:r>
        <w:rPr>
          <w:rFonts w:cs="Arial"/>
          <w:sz w:val="22"/>
          <w:szCs w:val="22"/>
        </w:rPr>
        <w:t>. It is agreed that no other SEPPs apply to this planning proposal.</w:t>
      </w:r>
    </w:p>
    <w:p w14:paraId="4CC23A70" w14:textId="77777777" w:rsidR="00A94B21" w:rsidRDefault="00A94B21" w:rsidP="00A94B21">
      <w:pPr>
        <w:pBdr>
          <w:bottom w:val="single" w:sz="4" w:space="1" w:color="auto"/>
        </w:pBdr>
        <w:tabs>
          <w:tab w:val="left" w:pos="2520"/>
        </w:tabs>
        <w:spacing w:before="240" w:after="120"/>
        <w:rPr>
          <w:rFonts w:cs="Arial"/>
          <w:b/>
          <w:sz w:val="22"/>
          <w:szCs w:val="22"/>
        </w:rPr>
      </w:pPr>
      <w:r>
        <w:rPr>
          <w:rFonts w:cs="Arial"/>
          <w:b/>
          <w:sz w:val="22"/>
          <w:szCs w:val="22"/>
        </w:rPr>
        <w:t>5. SITE-SPECIFIC ASSESSMENT</w:t>
      </w:r>
    </w:p>
    <w:p w14:paraId="5248AFBB" w14:textId="77777777" w:rsidR="00A94B21" w:rsidRDefault="00A94B21" w:rsidP="00A94B21">
      <w:pPr>
        <w:tabs>
          <w:tab w:val="left" w:pos="2520"/>
        </w:tabs>
        <w:spacing w:before="120"/>
        <w:rPr>
          <w:rFonts w:cs="Arial"/>
          <w:b/>
          <w:sz w:val="22"/>
          <w:szCs w:val="22"/>
        </w:rPr>
      </w:pPr>
      <w:r>
        <w:rPr>
          <w:rFonts w:cs="Arial"/>
          <w:b/>
          <w:sz w:val="22"/>
          <w:szCs w:val="22"/>
        </w:rPr>
        <w:t>5.1 Social</w:t>
      </w:r>
    </w:p>
    <w:p w14:paraId="498A78FE" w14:textId="013D3D2C" w:rsidR="00A94B21" w:rsidRDefault="00A94B21" w:rsidP="00A94B21">
      <w:pPr>
        <w:tabs>
          <w:tab w:val="left" w:pos="2520"/>
        </w:tabs>
        <w:spacing w:after="120"/>
        <w:rPr>
          <w:rFonts w:cs="Arial"/>
          <w:sz w:val="22"/>
          <w:szCs w:val="22"/>
        </w:rPr>
      </w:pPr>
      <w:r>
        <w:rPr>
          <w:rFonts w:cs="Arial"/>
          <w:sz w:val="22"/>
          <w:szCs w:val="22"/>
        </w:rPr>
        <w:t>Council’s planning proposal places each of the affected lots into a category relating to perceived future development potential based on current zoning and MLS. Council notes that much of this potential would not be realised due to clause 7.8 in the Wagga Wagga Local Environmental Plan 2010.</w:t>
      </w:r>
    </w:p>
    <w:p w14:paraId="60507CDE" w14:textId="25606314" w:rsidR="00A94B21" w:rsidRDefault="00A94B21" w:rsidP="00A94B21">
      <w:pPr>
        <w:tabs>
          <w:tab w:val="left" w:pos="2520"/>
        </w:tabs>
        <w:rPr>
          <w:rFonts w:cs="Arial"/>
          <w:sz w:val="22"/>
          <w:szCs w:val="22"/>
        </w:rPr>
      </w:pPr>
      <w:r>
        <w:rPr>
          <w:rFonts w:cs="Arial"/>
          <w:sz w:val="22"/>
          <w:szCs w:val="22"/>
        </w:rPr>
        <w:t>Council established four categories in the analysis:</w:t>
      </w:r>
    </w:p>
    <w:p w14:paraId="0AD32D43" w14:textId="265D8928" w:rsidR="00A94B21" w:rsidRDefault="00A94B21" w:rsidP="00A94B21">
      <w:pPr>
        <w:pStyle w:val="ListParagraph"/>
        <w:numPr>
          <w:ilvl w:val="0"/>
          <w:numId w:val="4"/>
        </w:numPr>
        <w:tabs>
          <w:tab w:val="left" w:pos="2520"/>
        </w:tabs>
        <w:rPr>
          <w:rFonts w:ascii="Arial" w:hAnsi="Arial" w:cs="Arial"/>
        </w:rPr>
      </w:pPr>
      <w:r>
        <w:rPr>
          <w:rFonts w:ascii="Arial" w:hAnsi="Arial" w:cs="Arial"/>
        </w:rPr>
        <w:t>lots that do</w:t>
      </w:r>
      <w:r w:rsidR="00CA4DF8">
        <w:rPr>
          <w:rFonts w:ascii="Arial" w:hAnsi="Arial" w:cs="Arial"/>
        </w:rPr>
        <w:t xml:space="preserve"> </w:t>
      </w:r>
      <w:r>
        <w:rPr>
          <w:rFonts w:ascii="Arial" w:hAnsi="Arial" w:cs="Arial"/>
        </w:rPr>
        <w:t>n</w:t>
      </w:r>
      <w:r w:rsidR="00CA4DF8">
        <w:rPr>
          <w:rFonts w:ascii="Arial" w:hAnsi="Arial" w:cs="Arial"/>
        </w:rPr>
        <w:t>o</w:t>
      </w:r>
      <w:r>
        <w:rPr>
          <w:rFonts w:ascii="Arial" w:hAnsi="Arial" w:cs="Arial"/>
        </w:rPr>
        <w:t xml:space="preserve">t currently meet the MLS, </w:t>
      </w:r>
    </w:p>
    <w:p w14:paraId="627C2A4C" w14:textId="77777777" w:rsidR="00A94B21" w:rsidRDefault="00A94B21" w:rsidP="00A94B21">
      <w:pPr>
        <w:pStyle w:val="ListParagraph"/>
        <w:numPr>
          <w:ilvl w:val="0"/>
          <w:numId w:val="4"/>
        </w:numPr>
        <w:tabs>
          <w:tab w:val="left" w:pos="2520"/>
        </w:tabs>
        <w:rPr>
          <w:rFonts w:ascii="Arial" w:hAnsi="Arial" w:cs="Arial"/>
        </w:rPr>
      </w:pPr>
      <w:r>
        <w:rPr>
          <w:rFonts w:ascii="Arial" w:hAnsi="Arial" w:cs="Arial"/>
        </w:rPr>
        <w:t xml:space="preserve">lots that do meet the MLS (with or without a dwelling) but are not large enough to subdivide further, </w:t>
      </w:r>
    </w:p>
    <w:p w14:paraId="506F7FF9" w14:textId="77777777" w:rsidR="00A94B21" w:rsidRDefault="00A94B21" w:rsidP="00A94B21">
      <w:pPr>
        <w:pStyle w:val="ListParagraph"/>
        <w:numPr>
          <w:ilvl w:val="0"/>
          <w:numId w:val="4"/>
        </w:numPr>
        <w:tabs>
          <w:tab w:val="left" w:pos="2520"/>
        </w:tabs>
        <w:rPr>
          <w:rFonts w:ascii="Arial" w:hAnsi="Arial" w:cs="Arial"/>
        </w:rPr>
      </w:pPr>
      <w:r>
        <w:rPr>
          <w:rFonts w:ascii="Arial" w:hAnsi="Arial" w:cs="Arial"/>
        </w:rPr>
        <w:t>lots that have double the MLS and could potentially subdivide further, and</w:t>
      </w:r>
    </w:p>
    <w:p w14:paraId="608D4F8B" w14:textId="77777777" w:rsidR="00A94B21" w:rsidRDefault="00A94B21" w:rsidP="00A94B21">
      <w:pPr>
        <w:pStyle w:val="ListParagraph"/>
        <w:numPr>
          <w:ilvl w:val="0"/>
          <w:numId w:val="4"/>
        </w:numPr>
        <w:tabs>
          <w:tab w:val="left" w:pos="2520"/>
        </w:tabs>
        <w:spacing w:after="120"/>
        <w:rPr>
          <w:rFonts w:ascii="Arial" w:hAnsi="Arial" w:cs="Arial"/>
        </w:rPr>
      </w:pPr>
      <w:r>
        <w:rPr>
          <w:rFonts w:ascii="Arial" w:hAnsi="Arial" w:cs="Arial"/>
        </w:rPr>
        <w:t>one lot that meets more than the MLS and has a large portion of the lot outside the subject land, resulting in a split zone situation.</w:t>
      </w:r>
    </w:p>
    <w:p w14:paraId="28316A67" w14:textId="77777777" w:rsidR="00A94B21" w:rsidRDefault="00A94B21" w:rsidP="00A94B21">
      <w:pPr>
        <w:tabs>
          <w:tab w:val="left" w:pos="2520"/>
        </w:tabs>
        <w:spacing w:after="120"/>
        <w:rPr>
          <w:rFonts w:cs="Arial"/>
          <w:sz w:val="22"/>
          <w:szCs w:val="22"/>
        </w:rPr>
      </w:pPr>
      <w:r>
        <w:rPr>
          <w:rFonts w:cs="Arial"/>
          <w:sz w:val="22"/>
          <w:szCs w:val="22"/>
        </w:rPr>
        <w:t>Council’s planning proposal removes the opportunity for further residential development potential, whether through the erection of a dwelling, a dual occupancy or subdivision for a dwelling.</w:t>
      </w:r>
    </w:p>
    <w:p w14:paraId="0ACBC245" w14:textId="00DF8259" w:rsidR="00A94B21" w:rsidRDefault="00A94B21" w:rsidP="00A94B21">
      <w:pPr>
        <w:tabs>
          <w:tab w:val="left" w:pos="2520"/>
        </w:tabs>
        <w:rPr>
          <w:rFonts w:cs="Arial"/>
          <w:sz w:val="22"/>
          <w:szCs w:val="22"/>
        </w:rPr>
      </w:pPr>
      <w:r>
        <w:rPr>
          <w:rFonts w:cs="Arial"/>
          <w:sz w:val="22"/>
          <w:szCs w:val="22"/>
        </w:rPr>
        <w:t xml:space="preserve">Based on the analysis outlined above, </w:t>
      </w:r>
      <w:r w:rsidR="007F790E">
        <w:rPr>
          <w:rFonts w:cs="Arial"/>
          <w:sz w:val="22"/>
          <w:szCs w:val="22"/>
        </w:rPr>
        <w:t>the planning proposal</w:t>
      </w:r>
      <w:r>
        <w:rPr>
          <w:rFonts w:cs="Arial"/>
          <w:sz w:val="22"/>
          <w:szCs w:val="22"/>
        </w:rPr>
        <w:t xml:space="preserve"> estimates the area identified as </w:t>
      </w:r>
      <w:r w:rsidR="00475A5C">
        <w:rPr>
          <w:rFonts w:cs="Arial"/>
          <w:sz w:val="22"/>
          <w:szCs w:val="22"/>
        </w:rPr>
        <w:t>Cartwrights</w:t>
      </w:r>
      <w:r>
        <w:rPr>
          <w:rFonts w:cs="Arial"/>
          <w:sz w:val="22"/>
          <w:szCs w:val="22"/>
        </w:rPr>
        <w:t xml:space="preserve"> Hill, could yield: </w:t>
      </w:r>
    </w:p>
    <w:p w14:paraId="45E8842B" w14:textId="77777777" w:rsidR="00A94B21" w:rsidRDefault="00A94B21" w:rsidP="00A94B21">
      <w:pPr>
        <w:pStyle w:val="Default"/>
        <w:numPr>
          <w:ilvl w:val="0"/>
          <w:numId w:val="5"/>
        </w:numPr>
        <w:rPr>
          <w:rFonts w:ascii="Arial" w:hAnsi="Arial" w:cs="Arial"/>
          <w:color w:val="auto"/>
          <w:sz w:val="22"/>
          <w:szCs w:val="22"/>
        </w:rPr>
      </w:pPr>
      <w:r>
        <w:rPr>
          <w:rFonts w:ascii="Arial" w:hAnsi="Arial" w:cs="Arial"/>
          <w:color w:val="auto"/>
          <w:sz w:val="22"/>
          <w:szCs w:val="22"/>
        </w:rPr>
        <w:t>Up to 19 additional dwelling lots;</w:t>
      </w:r>
    </w:p>
    <w:p w14:paraId="04233AD2" w14:textId="77777777" w:rsidR="00A94B21" w:rsidRDefault="00A94B21" w:rsidP="00A94B21">
      <w:pPr>
        <w:pStyle w:val="Default"/>
        <w:numPr>
          <w:ilvl w:val="0"/>
          <w:numId w:val="5"/>
        </w:numPr>
        <w:rPr>
          <w:rFonts w:ascii="Arial" w:hAnsi="Arial" w:cs="Arial"/>
          <w:color w:val="auto"/>
          <w:sz w:val="22"/>
          <w:szCs w:val="22"/>
        </w:rPr>
      </w:pPr>
      <w:r>
        <w:rPr>
          <w:rFonts w:ascii="Arial" w:hAnsi="Arial" w:cs="Arial"/>
          <w:color w:val="auto"/>
          <w:sz w:val="22"/>
          <w:szCs w:val="22"/>
        </w:rPr>
        <w:t xml:space="preserve">1 existing vacant dwelling-sized lot; </w:t>
      </w:r>
    </w:p>
    <w:p w14:paraId="56942B8E" w14:textId="77777777" w:rsidR="00A94B21" w:rsidRDefault="00A94B21" w:rsidP="00A94B21">
      <w:pPr>
        <w:pStyle w:val="Default"/>
        <w:numPr>
          <w:ilvl w:val="0"/>
          <w:numId w:val="5"/>
        </w:numPr>
        <w:spacing w:after="160"/>
        <w:rPr>
          <w:rFonts w:ascii="Arial" w:hAnsi="Arial" w:cs="Arial"/>
          <w:color w:val="auto"/>
          <w:sz w:val="22"/>
          <w:szCs w:val="22"/>
        </w:rPr>
      </w:pPr>
      <w:r>
        <w:rPr>
          <w:rFonts w:ascii="Arial" w:hAnsi="Arial" w:cs="Arial"/>
          <w:color w:val="auto"/>
          <w:sz w:val="22"/>
          <w:szCs w:val="22"/>
        </w:rPr>
        <w:t xml:space="preserve">Up to 70 dual occupancy developments. </w:t>
      </w:r>
    </w:p>
    <w:p w14:paraId="0D57D94E" w14:textId="31103249" w:rsidR="00A94B21" w:rsidRDefault="00A94B21" w:rsidP="00A94B21">
      <w:pPr>
        <w:pStyle w:val="Default"/>
        <w:rPr>
          <w:rFonts w:ascii="Arial" w:hAnsi="Arial" w:cs="Arial"/>
          <w:color w:val="auto"/>
          <w:sz w:val="22"/>
          <w:szCs w:val="22"/>
        </w:rPr>
      </w:pPr>
      <w:r>
        <w:rPr>
          <w:rFonts w:ascii="Arial" w:hAnsi="Arial" w:cs="Arial"/>
          <w:color w:val="auto"/>
          <w:sz w:val="22"/>
          <w:szCs w:val="22"/>
        </w:rPr>
        <w:t xml:space="preserve">At the </w:t>
      </w:r>
      <w:r w:rsidR="003B738E">
        <w:rPr>
          <w:rFonts w:ascii="Arial" w:hAnsi="Arial" w:cs="Arial"/>
          <w:color w:val="auto"/>
          <w:sz w:val="22"/>
          <w:szCs w:val="22"/>
        </w:rPr>
        <w:t xml:space="preserve">North Wagga Wagga </w:t>
      </w:r>
      <w:r>
        <w:rPr>
          <w:rFonts w:ascii="Arial" w:hAnsi="Arial" w:cs="Arial"/>
          <w:color w:val="auto"/>
          <w:sz w:val="22"/>
          <w:szCs w:val="22"/>
        </w:rPr>
        <w:t xml:space="preserve">area, </w:t>
      </w:r>
      <w:r w:rsidR="007F790E">
        <w:rPr>
          <w:rFonts w:ascii="Arial" w:hAnsi="Arial" w:cs="Arial"/>
          <w:color w:val="auto"/>
          <w:sz w:val="22"/>
          <w:szCs w:val="22"/>
        </w:rPr>
        <w:t>it</w:t>
      </w:r>
      <w:r>
        <w:rPr>
          <w:rFonts w:ascii="Arial" w:hAnsi="Arial" w:cs="Arial"/>
          <w:color w:val="auto"/>
          <w:sz w:val="22"/>
          <w:szCs w:val="22"/>
        </w:rPr>
        <w:t xml:space="preserve"> estimates the current zone and lot size provisions could yield: </w:t>
      </w:r>
    </w:p>
    <w:p w14:paraId="7E383C54" w14:textId="77777777" w:rsidR="00A94B21" w:rsidRDefault="00A94B21" w:rsidP="00A94B21">
      <w:pPr>
        <w:pStyle w:val="Default"/>
        <w:numPr>
          <w:ilvl w:val="0"/>
          <w:numId w:val="6"/>
        </w:numPr>
        <w:rPr>
          <w:rFonts w:ascii="Arial" w:hAnsi="Arial" w:cs="Arial"/>
          <w:color w:val="auto"/>
          <w:sz w:val="22"/>
          <w:szCs w:val="22"/>
        </w:rPr>
      </w:pPr>
      <w:r>
        <w:rPr>
          <w:rFonts w:ascii="Arial" w:hAnsi="Arial" w:cs="Arial"/>
          <w:color w:val="auto"/>
          <w:sz w:val="22"/>
          <w:szCs w:val="22"/>
        </w:rPr>
        <w:t xml:space="preserve">1 additional dwelling lot; </w:t>
      </w:r>
    </w:p>
    <w:p w14:paraId="4E6F6F28" w14:textId="77777777" w:rsidR="00A94B21" w:rsidRDefault="00A94B21" w:rsidP="00A94B21">
      <w:pPr>
        <w:pStyle w:val="Default"/>
        <w:numPr>
          <w:ilvl w:val="0"/>
          <w:numId w:val="6"/>
        </w:numPr>
        <w:spacing w:after="160"/>
        <w:rPr>
          <w:rFonts w:ascii="Arial" w:hAnsi="Arial" w:cs="Arial"/>
          <w:color w:val="auto"/>
          <w:sz w:val="22"/>
          <w:szCs w:val="22"/>
        </w:rPr>
      </w:pPr>
      <w:r>
        <w:rPr>
          <w:rFonts w:ascii="Arial" w:hAnsi="Arial" w:cs="Arial"/>
          <w:color w:val="auto"/>
          <w:sz w:val="22"/>
          <w:szCs w:val="22"/>
        </w:rPr>
        <w:t xml:space="preserve">Up to 15 dual occupancy developments. </w:t>
      </w:r>
    </w:p>
    <w:p w14:paraId="24082920" w14:textId="77777777" w:rsidR="00A94B21" w:rsidRDefault="00A94B21" w:rsidP="00A94B21">
      <w:pPr>
        <w:pStyle w:val="Default"/>
        <w:spacing w:after="120"/>
        <w:rPr>
          <w:rFonts w:ascii="Arial" w:hAnsi="Arial" w:cs="Arial"/>
          <w:color w:val="auto"/>
          <w:sz w:val="22"/>
          <w:szCs w:val="22"/>
        </w:rPr>
      </w:pPr>
      <w:r>
        <w:rPr>
          <w:rFonts w:ascii="Arial" w:hAnsi="Arial" w:cs="Arial"/>
          <w:color w:val="auto"/>
          <w:sz w:val="22"/>
          <w:szCs w:val="22"/>
        </w:rPr>
        <w:t>The analysis assumes that WWLEP Clause 7.8 is satisfied (which may not be achievable) and the use of clause 4.6 is used in some cases to vary development standards where lots overlap zone boundaries. Six of the above lots are currently owned by organisations and/or used for business purposes.</w:t>
      </w:r>
    </w:p>
    <w:p w14:paraId="681E7110" w14:textId="26C53064" w:rsidR="00A94B21" w:rsidRDefault="00A94B21" w:rsidP="00A94B21">
      <w:pPr>
        <w:tabs>
          <w:tab w:val="left" w:pos="2520"/>
        </w:tabs>
        <w:spacing w:after="120"/>
        <w:rPr>
          <w:rFonts w:cs="Arial"/>
          <w:sz w:val="22"/>
          <w:szCs w:val="22"/>
        </w:rPr>
      </w:pPr>
      <w:r>
        <w:rPr>
          <w:rFonts w:cs="Arial"/>
          <w:sz w:val="22"/>
          <w:szCs w:val="22"/>
        </w:rPr>
        <w:t xml:space="preserve">Council has resolved to remove the (perceived) residential development potential for the affected lots, as outlined in the planning proposal and summarised above. Whilst this is generally supported as achieving the objectives and intent of the planning proposal, </w:t>
      </w:r>
      <w:r w:rsidR="007F790E">
        <w:rPr>
          <w:rFonts w:cs="Arial"/>
          <w:sz w:val="22"/>
          <w:szCs w:val="22"/>
        </w:rPr>
        <w:t xml:space="preserve">Council was asked to clarify </w:t>
      </w:r>
      <w:r w:rsidR="00835C3A">
        <w:rPr>
          <w:rFonts w:cs="Arial"/>
          <w:sz w:val="22"/>
          <w:szCs w:val="22"/>
        </w:rPr>
        <w:t xml:space="preserve">whether any of the savings provisions in clause 4.2A of the </w:t>
      </w:r>
      <w:r w:rsidR="00835C3A" w:rsidRPr="00835C3A">
        <w:rPr>
          <w:rFonts w:cs="Arial"/>
          <w:i/>
          <w:iCs/>
          <w:sz w:val="22"/>
          <w:szCs w:val="22"/>
        </w:rPr>
        <w:t>Wagga Wagga LEP 2010</w:t>
      </w:r>
      <w:r w:rsidR="00835C3A">
        <w:rPr>
          <w:rFonts w:cs="Arial"/>
          <w:sz w:val="22"/>
          <w:szCs w:val="22"/>
        </w:rPr>
        <w:t xml:space="preserve"> would allow </w:t>
      </w:r>
      <w:r w:rsidR="007F790E">
        <w:rPr>
          <w:rFonts w:cs="Arial"/>
          <w:sz w:val="22"/>
          <w:szCs w:val="22"/>
        </w:rPr>
        <w:t xml:space="preserve">the </w:t>
      </w:r>
      <w:r w:rsidR="00835C3A">
        <w:rPr>
          <w:rFonts w:cs="Arial"/>
          <w:sz w:val="22"/>
          <w:szCs w:val="22"/>
        </w:rPr>
        <w:t xml:space="preserve">continuation of </w:t>
      </w:r>
      <w:r w:rsidR="007F790E">
        <w:rPr>
          <w:rFonts w:cs="Arial"/>
          <w:sz w:val="22"/>
          <w:szCs w:val="22"/>
        </w:rPr>
        <w:t xml:space="preserve">development opportunities </w:t>
      </w:r>
      <w:r w:rsidR="00835C3A">
        <w:rPr>
          <w:rFonts w:cs="Arial"/>
          <w:sz w:val="22"/>
          <w:szCs w:val="22"/>
        </w:rPr>
        <w:t>on any of the affected lots</w:t>
      </w:r>
      <w:r>
        <w:rPr>
          <w:rFonts w:cs="Arial"/>
          <w:sz w:val="22"/>
          <w:szCs w:val="22"/>
        </w:rPr>
        <w:t>.</w:t>
      </w:r>
      <w:r w:rsidR="00835C3A">
        <w:rPr>
          <w:rFonts w:cs="Arial"/>
          <w:sz w:val="22"/>
          <w:szCs w:val="22"/>
        </w:rPr>
        <w:t xml:space="preserve"> Council </w:t>
      </w:r>
      <w:r w:rsidR="00C13596">
        <w:rPr>
          <w:rFonts w:cs="Arial"/>
          <w:sz w:val="22"/>
          <w:szCs w:val="22"/>
        </w:rPr>
        <w:t>advised that 3 vacant lots and 3 lots currently used for non-residential purposes would retain dwelling opportunities under clause 4.2A(3). This advice</w:t>
      </w:r>
      <w:r w:rsidR="00835C3A">
        <w:rPr>
          <w:rFonts w:cs="Arial"/>
          <w:sz w:val="22"/>
          <w:szCs w:val="22"/>
        </w:rPr>
        <w:t xml:space="preserve"> is summarised in Table 1.</w:t>
      </w:r>
    </w:p>
    <w:p w14:paraId="43F1B85E" w14:textId="77777777" w:rsidR="003B738E" w:rsidRDefault="003B738E" w:rsidP="00835C3A">
      <w:pPr>
        <w:pStyle w:val="Caption"/>
        <w:keepNext/>
        <w:rPr>
          <w:sz w:val="22"/>
          <w:szCs w:val="22"/>
        </w:rPr>
      </w:pPr>
    </w:p>
    <w:p w14:paraId="26A4AF57" w14:textId="5565F841" w:rsidR="00835C3A" w:rsidRPr="00835C3A" w:rsidRDefault="00835C3A" w:rsidP="00835C3A">
      <w:pPr>
        <w:pStyle w:val="Caption"/>
        <w:keepNext/>
        <w:rPr>
          <w:sz w:val="22"/>
          <w:szCs w:val="22"/>
        </w:rPr>
      </w:pPr>
      <w:r w:rsidRPr="00835C3A">
        <w:rPr>
          <w:sz w:val="22"/>
          <w:szCs w:val="22"/>
        </w:rPr>
        <w:t xml:space="preserve">Table </w:t>
      </w:r>
      <w:r w:rsidRPr="00835C3A">
        <w:rPr>
          <w:sz w:val="22"/>
          <w:szCs w:val="22"/>
        </w:rPr>
        <w:fldChar w:fldCharType="begin"/>
      </w:r>
      <w:r w:rsidRPr="00835C3A">
        <w:rPr>
          <w:sz w:val="22"/>
          <w:szCs w:val="22"/>
        </w:rPr>
        <w:instrText xml:space="preserve"> SEQ Table \* ARABIC </w:instrText>
      </w:r>
      <w:r w:rsidRPr="00835C3A">
        <w:rPr>
          <w:sz w:val="22"/>
          <w:szCs w:val="22"/>
        </w:rPr>
        <w:fldChar w:fldCharType="separate"/>
      </w:r>
      <w:r w:rsidRPr="00835C3A">
        <w:rPr>
          <w:noProof/>
          <w:sz w:val="22"/>
          <w:szCs w:val="22"/>
        </w:rPr>
        <w:t>1</w:t>
      </w:r>
      <w:r w:rsidRPr="00835C3A">
        <w:rPr>
          <w:sz w:val="22"/>
          <w:szCs w:val="22"/>
        </w:rPr>
        <w:fldChar w:fldCharType="end"/>
      </w:r>
      <w:r w:rsidRPr="00835C3A">
        <w:rPr>
          <w:sz w:val="22"/>
          <w:szCs w:val="22"/>
        </w:rPr>
        <w:t xml:space="preserve"> - Applicability of Clause 4.2A</w:t>
      </w:r>
      <w:r w:rsidR="007D606A">
        <w:rPr>
          <w:sz w:val="22"/>
          <w:szCs w:val="22"/>
        </w:rPr>
        <w:t>(3)</w:t>
      </w:r>
      <w:r w:rsidRPr="00835C3A">
        <w:rPr>
          <w:sz w:val="22"/>
          <w:szCs w:val="22"/>
        </w:rPr>
        <w:t xml:space="preserve"> (Wagga Wagga LEP 2010) to various lots</w:t>
      </w:r>
    </w:p>
    <w:tbl>
      <w:tblPr>
        <w:tblStyle w:val="TableGrid"/>
        <w:tblW w:w="9129" w:type="dxa"/>
        <w:tblInd w:w="-147" w:type="dxa"/>
        <w:tblLook w:val="04A0" w:firstRow="1" w:lastRow="0" w:firstColumn="1" w:lastColumn="0" w:noHBand="0" w:noVBand="1"/>
      </w:tblPr>
      <w:tblGrid>
        <w:gridCol w:w="1903"/>
        <w:gridCol w:w="3492"/>
        <w:gridCol w:w="968"/>
        <w:gridCol w:w="2766"/>
      </w:tblGrid>
      <w:tr w:rsidR="007D606A" w:rsidRPr="007D606A" w14:paraId="4E868112" w14:textId="77777777" w:rsidTr="009527F7">
        <w:trPr>
          <w:trHeight w:val="523"/>
        </w:trPr>
        <w:tc>
          <w:tcPr>
            <w:tcW w:w="1903" w:type="dxa"/>
          </w:tcPr>
          <w:p w14:paraId="3EC05DC1" w14:textId="1822B5F1" w:rsidR="007D606A" w:rsidRPr="007D606A" w:rsidRDefault="007D606A" w:rsidP="00A94B21">
            <w:pPr>
              <w:tabs>
                <w:tab w:val="left" w:pos="2520"/>
              </w:tabs>
              <w:spacing w:after="120"/>
              <w:rPr>
                <w:rFonts w:cs="Arial"/>
                <w:b/>
                <w:bCs/>
                <w:sz w:val="20"/>
              </w:rPr>
            </w:pPr>
            <w:r w:rsidRPr="007D606A">
              <w:rPr>
                <w:rFonts w:cs="Arial"/>
                <w:b/>
                <w:bCs/>
                <w:sz w:val="20"/>
              </w:rPr>
              <w:t>Lot &amp; DP</w:t>
            </w:r>
          </w:p>
        </w:tc>
        <w:tc>
          <w:tcPr>
            <w:tcW w:w="3492" w:type="dxa"/>
          </w:tcPr>
          <w:p w14:paraId="74D983DC" w14:textId="1D8E0BCC" w:rsidR="007D606A" w:rsidRPr="007D606A" w:rsidRDefault="007D606A" w:rsidP="00A94B21">
            <w:pPr>
              <w:tabs>
                <w:tab w:val="left" w:pos="2520"/>
              </w:tabs>
              <w:spacing w:after="120"/>
              <w:rPr>
                <w:rFonts w:cs="Arial"/>
                <w:b/>
                <w:bCs/>
                <w:sz w:val="20"/>
              </w:rPr>
            </w:pPr>
            <w:r w:rsidRPr="007D606A">
              <w:rPr>
                <w:rFonts w:cs="Arial"/>
                <w:b/>
                <w:bCs/>
                <w:sz w:val="20"/>
              </w:rPr>
              <w:t>Street Address</w:t>
            </w:r>
          </w:p>
        </w:tc>
        <w:tc>
          <w:tcPr>
            <w:tcW w:w="968" w:type="dxa"/>
          </w:tcPr>
          <w:p w14:paraId="57A48B74" w14:textId="6A94964F" w:rsidR="007D606A" w:rsidRPr="007D606A" w:rsidRDefault="007D606A" w:rsidP="00A94B21">
            <w:pPr>
              <w:tabs>
                <w:tab w:val="left" w:pos="2520"/>
              </w:tabs>
              <w:spacing w:after="120"/>
              <w:rPr>
                <w:rFonts w:cs="Arial"/>
                <w:b/>
                <w:bCs/>
                <w:sz w:val="20"/>
              </w:rPr>
            </w:pPr>
            <w:r w:rsidRPr="007D606A">
              <w:rPr>
                <w:rFonts w:cs="Arial"/>
                <w:b/>
                <w:bCs/>
                <w:sz w:val="20"/>
              </w:rPr>
              <w:t>Date created</w:t>
            </w:r>
          </w:p>
        </w:tc>
        <w:tc>
          <w:tcPr>
            <w:tcW w:w="2766" w:type="dxa"/>
          </w:tcPr>
          <w:p w14:paraId="5E86B6C8" w14:textId="65F260C2" w:rsidR="007D606A" w:rsidRPr="007D606A" w:rsidRDefault="007D606A" w:rsidP="00A94B21">
            <w:pPr>
              <w:tabs>
                <w:tab w:val="left" w:pos="2520"/>
              </w:tabs>
              <w:spacing w:after="120"/>
              <w:rPr>
                <w:rFonts w:cs="Arial"/>
                <w:b/>
                <w:bCs/>
                <w:sz w:val="20"/>
              </w:rPr>
            </w:pPr>
            <w:r w:rsidRPr="007D606A">
              <w:rPr>
                <w:rFonts w:cs="Arial"/>
                <w:b/>
                <w:bCs/>
                <w:sz w:val="20"/>
              </w:rPr>
              <w:t>Current land use</w:t>
            </w:r>
          </w:p>
        </w:tc>
      </w:tr>
      <w:tr w:rsidR="007D606A" w:rsidRPr="007D606A" w14:paraId="57278C66" w14:textId="77777777" w:rsidTr="009527F7">
        <w:trPr>
          <w:trHeight w:val="523"/>
        </w:trPr>
        <w:tc>
          <w:tcPr>
            <w:tcW w:w="1903" w:type="dxa"/>
          </w:tcPr>
          <w:p w14:paraId="19126F3A" w14:textId="2CFEE742" w:rsidR="007D606A" w:rsidRPr="007D606A" w:rsidRDefault="007D606A" w:rsidP="00A94B21">
            <w:pPr>
              <w:tabs>
                <w:tab w:val="left" w:pos="2520"/>
              </w:tabs>
              <w:spacing w:after="120"/>
              <w:rPr>
                <w:rFonts w:cs="Arial"/>
                <w:sz w:val="20"/>
              </w:rPr>
            </w:pPr>
            <w:r w:rsidRPr="007D606A">
              <w:rPr>
                <w:rFonts w:cs="Arial"/>
                <w:sz w:val="20"/>
              </w:rPr>
              <w:t>Lot 5 DP 856275</w:t>
            </w:r>
          </w:p>
        </w:tc>
        <w:tc>
          <w:tcPr>
            <w:tcW w:w="3492" w:type="dxa"/>
          </w:tcPr>
          <w:p w14:paraId="7341B5D2" w14:textId="0CEF5AD9" w:rsidR="007D606A" w:rsidRPr="007D606A" w:rsidRDefault="007D606A" w:rsidP="00461121">
            <w:pPr>
              <w:rPr>
                <w:rFonts w:cs="Arial"/>
                <w:sz w:val="20"/>
                <w:lang w:eastAsia="en-US"/>
              </w:rPr>
            </w:pPr>
            <w:r w:rsidRPr="00835C3A">
              <w:rPr>
                <w:rFonts w:cs="Arial"/>
                <w:sz w:val="20"/>
                <w:lang w:eastAsia="en-US"/>
              </w:rPr>
              <w:t>126A East Street</w:t>
            </w:r>
            <w:r w:rsidRPr="007D606A">
              <w:rPr>
                <w:rFonts w:cs="Arial"/>
                <w:sz w:val="20"/>
                <w:lang w:eastAsia="en-US"/>
              </w:rPr>
              <w:t>, Cartwrights Hill</w:t>
            </w:r>
            <w:r w:rsidRPr="00835C3A">
              <w:rPr>
                <w:rFonts w:cs="Arial"/>
                <w:sz w:val="20"/>
                <w:lang w:eastAsia="en-US"/>
              </w:rPr>
              <w:t xml:space="preserve"> </w:t>
            </w:r>
          </w:p>
        </w:tc>
        <w:tc>
          <w:tcPr>
            <w:tcW w:w="968" w:type="dxa"/>
          </w:tcPr>
          <w:p w14:paraId="634E6459" w14:textId="38872FF2" w:rsidR="007D606A" w:rsidRPr="00835C3A" w:rsidRDefault="007D606A" w:rsidP="00835C3A">
            <w:pPr>
              <w:rPr>
                <w:rFonts w:cs="Arial"/>
                <w:sz w:val="20"/>
                <w:lang w:eastAsia="en-US"/>
              </w:rPr>
            </w:pPr>
            <w:r w:rsidRPr="00835C3A">
              <w:rPr>
                <w:rFonts w:cs="Arial"/>
                <w:sz w:val="20"/>
                <w:lang w:eastAsia="en-US"/>
              </w:rPr>
              <w:t>1995</w:t>
            </w:r>
          </w:p>
          <w:p w14:paraId="3AE92A82" w14:textId="77777777" w:rsidR="007D606A" w:rsidRPr="007D606A" w:rsidRDefault="007D606A" w:rsidP="00A94B21">
            <w:pPr>
              <w:tabs>
                <w:tab w:val="left" w:pos="2520"/>
              </w:tabs>
              <w:spacing w:after="120"/>
              <w:rPr>
                <w:rFonts w:cs="Arial"/>
                <w:sz w:val="20"/>
              </w:rPr>
            </w:pPr>
          </w:p>
        </w:tc>
        <w:tc>
          <w:tcPr>
            <w:tcW w:w="2766" w:type="dxa"/>
          </w:tcPr>
          <w:p w14:paraId="1E108263" w14:textId="26A82AFE" w:rsidR="007D606A" w:rsidRPr="007D606A" w:rsidRDefault="007D606A" w:rsidP="00A94B21">
            <w:pPr>
              <w:tabs>
                <w:tab w:val="left" w:pos="2520"/>
              </w:tabs>
              <w:spacing w:after="120"/>
              <w:rPr>
                <w:rFonts w:cs="Arial"/>
                <w:sz w:val="20"/>
              </w:rPr>
            </w:pPr>
            <w:r w:rsidRPr="007D606A">
              <w:rPr>
                <w:rFonts w:cs="Arial"/>
                <w:sz w:val="20"/>
              </w:rPr>
              <w:t>Vacant</w:t>
            </w:r>
          </w:p>
        </w:tc>
      </w:tr>
      <w:tr w:rsidR="007D606A" w:rsidRPr="007D606A" w14:paraId="6E17A0E5" w14:textId="77777777" w:rsidTr="009527F7">
        <w:trPr>
          <w:trHeight w:val="523"/>
        </w:trPr>
        <w:tc>
          <w:tcPr>
            <w:tcW w:w="1903" w:type="dxa"/>
          </w:tcPr>
          <w:p w14:paraId="57BF0C2C" w14:textId="77777777" w:rsidR="007D606A" w:rsidRPr="00835C3A" w:rsidRDefault="007D606A" w:rsidP="00835C3A">
            <w:pPr>
              <w:rPr>
                <w:rFonts w:cs="Arial"/>
                <w:sz w:val="20"/>
                <w:lang w:eastAsia="en-US"/>
              </w:rPr>
            </w:pPr>
            <w:r w:rsidRPr="00835C3A">
              <w:rPr>
                <w:rFonts w:cs="Arial"/>
                <w:sz w:val="20"/>
                <w:lang w:eastAsia="en-US"/>
              </w:rPr>
              <w:t xml:space="preserve">Lot 11 DP 855048 </w:t>
            </w:r>
          </w:p>
          <w:p w14:paraId="2341FF0C" w14:textId="77777777" w:rsidR="007D606A" w:rsidRPr="007D606A" w:rsidRDefault="007D606A" w:rsidP="00835C3A">
            <w:pPr>
              <w:tabs>
                <w:tab w:val="left" w:pos="2520"/>
              </w:tabs>
              <w:spacing w:after="120"/>
              <w:rPr>
                <w:rFonts w:cs="Arial"/>
                <w:sz w:val="20"/>
              </w:rPr>
            </w:pPr>
          </w:p>
        </w:tc>
        <w:tc>
          <w:tcPr>
            <w:tcW w:w="3492" w:type="dxa"/>
          </w:tcPr>
          <w:p w14:paraId="35E2289B" w14:textId="557CE3B7" w:rsidR="007D606A" w:rsidRPr="007D606A" w:rsidRDefault="007D606A" w:rsidP="00461121">
            <w:pPr>
              <w:rPr>
                <w:rFonts w:cs="Arial"/>
                <w:sz w:val="20"/>
                <w:lang w:eastAsia="en-US"/>
              </w:rPr>
            </w:pPr>
            <w:r w:rsidRPr="00835C3A">
              <w:rPr>
                <w:rFonts w:cs="Arial"/>
                <w:sz w:val="20"/>
                <w:lang w:eastAsia="en-US"/>
              </w:rPr>
              <w:t>39 Horseshoe Road</w:t>
            </w:r>
            <w:r w:rsidRPr="007D606A">
              <w:rPr>
                <w:rFonts w:cs="Arial"/>
                <w:sz w:val="20"/>
                <w:lang w:eastAsia="en-US"/>
              </w:rPr>
              <w:t>, Cartwrights Hill</w:t>
            </w:r>
          </w:p>
        </w:tc>
        <w:tc>
          <w:tcPr>
            <w:tcW w:w="968" w:type="dxa"/>
          </w:tcPr>
          <w:p w14:paraId="403C9375" w14:textId="5C2AB5A7" w:rsidR="007D606A" w:rsidRPr="007D606A" w:rsidRDefault="007D606A" w:rsidP="00835C3A">
            <w:pPr>
              <w:tabs>
                <w:tab w:val="left" w:pos="2520"/>
              </w:tabs>
              <w:spacing w:after="120"/>
              <w:rPr>
                <w:rFonts w:cs="Arial"/>
                <w:sz w:val="20"/>
              </w:rPr>
            </w:pPr>
            <w:r w:rsidRPr="007D606A">
              <w:rPr>
                <w:rFonts w:cs="Arial"/>
                <w:sz w:val="20"/>
              </w:rPr>
              <w:t>1995</w:t>
            </w:r>
          </w:p>
        </w:tc>
        <w:tc>
          <w:tcPr>
            <w:tcW w:w="2766" w:type="dxa"/>
          </w:tcPr>
          <w:p w14:paraId="6EF1BE7A" w14:textId="5419621F" w:rsidR="007D606A" w:rsidRPr="007D606A" w:rsidRDefault="007D606A" w:rsidP="00835C3A">
            <w:pPr>
              <w:tabs>
                <w:tab w:val="left" w:pos="2520"/>
              </w:tabs>
              <w:spacing w:after="120"/>
              <w:rPr>
                <w:rFonts w:cs="Arial"/>
                <w:sz w:val="20"/>
              </w:rPr>
            </w:pPr>
            <w:r w:rsidRPr="007D606A">
              <w:rPr>
                <w:rFonts w:cs="Arial"/>
                <w:sz w:val="20"/>
              </w:rPr>
              <w:t>Vacant</w:t>
            </w:r>
          </w:p>
        </w:tc>
      </w:tr>
      <w:tr w:rsidR="007D606A" w:rsidRPr="007D606A" w14:paraId="0C0B3C3E" w14:textId="77777777" w:rsidTr="009527F7">
        <w:trPr>
          <w:trHeight w:val="523"/>
        </w:trPr>
        <w:tc>
          <w:tcPr>
            <w:tcW w:w="1903" w:type="dxa"/>
          </w:tcPr>
          <w:p w14:paraId="3985BD9A" w14:textId="77777777" w:rsidR="007D606A" w:rsidRPr="00835C3A" w:rsidRDefault="007D606A" w:rsidP="00835C3A">
            <w:pPr>
              <w:rPr>
                <w:rFonts w:cs="Arial"/>
                <w:sz w:val="20"/>
                <w:lang w:eastAsia="en-US"/>
              </w:rPr>
            </w:pPr>
            <w:r w:rsidRPr="00835C3A">
              <w:rPr>
                <w:rFonts w:cs="Arial"/>
                <w:sz w:val="20"/>
                <w:lang w:eastAsia="en-US"/>
              </w:rPr>
              <w:t xml:space="preserve">Lot 3 DP 247907 </w:t>
            </w:r>
          </w:p>
          <w:p w14:paraId="1B845CCA" w14:textId="77777777" w:rsidR="007D606A" w:rsidRPr="007D606A" w:rsidRDefault="007D606A" w:rsidP="00835C3A">
            <w:pPr>
              <w:tabs>
                <w:tab w:val="left" w:pos="2520"/>
              </w:tabs>
              <w:spacing w:after="120"/>
              <w:rPr>
                <w:rFonts w:cs="Arial"/>
                <w:sz w:val="20"/>
              </w:rPr>
            </w:pPr>
          </w:p>
        </w:tc>
        <w:tc>
          <w:tcPr>
            <w:tcW w:w="3492" w:type="dxa"/>
          </w:tcPr>
          <w:p w14:paraId="3FE884EE" w14:textId="3338B5C1" w:rsidR="007D606A" w:rsidRPr="007D606A" w:rsidRDefault="007D606A" w:rsidP="00461121">
            <w:pPr>
              <w:rPr>
                <w:rFonts w:cs="Arial"/>
                <w:sz w:val="20"/>
                <w:lang w:eastAsia="en-US"/>
              </w:rPr>
            </w:pPr>
            <w:r w:rsidRPr="00835C3A">
              <w:rPr>
                <w:rFonts w:cs="Arial"/>
                <w:sz w:val="20"/>
                <w:lang w:eastAsia="en-US"/>
              </w:rPr>
              <w:t>138 East Street</w:t>
            </w:r>
            <w:r w:rsidRPr="007D606A">
              <w:rPr>
                <w:rFonts w:cs="Arial"/>
                <w:sz w:val="20"/>
                <w:lang w:eastAsia="en-US"/>
              </w:rPr>
              <w:t>, Cartwrights Hill</w:t>
            </w:r>
          </w:p>
        </w:tc>
        <w:tc>
          <w:tcPr>
            <w:tcW w:w="968" w:type="dxa"/>
          </w:tcPr>
          <w:p w14:paraId="5640663E" w14:textId="118D7F6F" w:rsidR="007D606A" w:rsidRPr="007D606A" w:rsidRDefault="007D606A" w:rsidP="00835C3A">
            <w:pPr>
              <w:tabs>
                <w:tab w:val="left" w:pos="2520"/>
              </w:tabs>
              <w:spacing w:after="120"/>
              <w:rPr>
                <w:rFonts w:cs="Arial"/>
                <w:sz w:val="20"/>
              </w:rPr>
            </w:pPr>
            <w:r w:rsidRPr="007D606A">
              <w:rPr>
                <w:rFonts w:cs="Arial"/>
                <w:sz w:val="20"/>
              </w:rPr>
              <w:t>1974</w:t>
            </w:r>
          </w:p>
        </w:tc>
        <w:tc>
          <w:tcPr>
            <w:tcW w:w="2766" w:type="dxa"/>
          </w:tcPr>
          <w:p w14:paraId="7F9F32CF" w14:textId="053DA93D" w:rsidR="007D606A" w:rsidRPr="007D606A" w:rsidRDefault="007D606A" w:rsidP="00835C3A">
            <w:pPr>
              <w:tabs>
                <w:tab w:val="left" w:pos="2520"/>
              </w:tabs>
              <w:spacing w:after="120"/>
              <w:rPr>
                <w:rFonts w:cs="Arial"/>
                <w:sz w:val="20"/>
              </w:rPr>
            </w:pPr>
            <w:r w:rsidRPr="007D606A">
              <w:rPr>
                <w:rFonts w:cs="Arial"/>
                <w:sz w:val="20"/>
              </w:rPr>
              <w:t>Vacant</w:t>
            </w:r>
          </w:p>
        </w:tc>
      </w:tr>
      <w:tr w:rsidR="007D606A" w:rsidRPr="007D606A" w14:paraId="5B2D2B92" w14:textId="77777777" w:rsidTr="009527F7">
        <w:trPr>
          <w:trHeight w:val="535"/>
        </w:trPr>
        <w:tc>
          <w:tcPr>
            <w:tcW w:w="1903" w:type="dxa"/>
          </w:tcPr>
          <w:p w14:paraId="6593A25E" w14:textId="77777777" w:rsidR="007D606A" w:rsidRPr="00835C3A" w:rsidRDefault="007D606A" w:rsidP="00835C3A">
            <w:pPr>
              <w:rPr>
                <w:rFonts w:cs="Arial"/>
                <w:sz w:val="20"/>
                <w:lang w:eastAsia="en-US"/>
              </w:rPr>
            </w:pPr>
            <w:r w:rsidRPr="00835C3A">
              <w:rPr>
                <w:rFonts w:cs="Arial"/>
                <w:sz w:val="20"/>
                <w:lang w:eastAsia="en-US"/>
              </w:rPr>
              <w:t xml:space="preserve">Lot 1 DP 623409 </w:t>
            </w:r>
          </w:p>
          <w:p w14:paraId="2612C0A3" w14:textId="77777777" w:rsidR="007D606A" w:rsidRPr="007D606A" w:rsidRDefault="007D606A" w:rsidP="00835C3A">
            <w:pPr>
              <w:tabs>
                <w:tab w:val="left" w:pos="2520"/>
              </w:tabs>
              <w:spacing w:after="120"/>
              <w:rPr>
                <w:rFonts w:cs="Arial"/>
                <w:sz w:val="20"/>
              </w:rPr>
            </w:pPr>
          </w:p>
        </w:tc>
        <w:tc>
          <w:tcPr>
            <w:tcW w:w="3492" w:type="dxa"/>
          </w:tcPr>
          <w:p w14:paraId="3874E3D7" w14:textId="015168ED" w:rsidR="007D606A" w:rsidRPr="007D606A" w:rsidRDefault="007D606A" w:rsidP="00835C3A">
            <w:pPr>
              <w:tabs>
                <w:tab w:val="left" w:pos="2520"/>
              </w:tabs>
              <w:spacing w:after="120"/>
              <w:rPr>
                <w:rFonts w:cs="Arial"/>
                <w:sz w:val="20"/>
              </w:rPr>
            </w:pPr>
            <w:r w:rsidRPr="007D606A">
              <w:rPr>
                <w:rFonts w:cs="Arial"/>
                <w:sz w:val="20"/>
              </w:rPr>
              <w:t xml:space="preserve">6 Old </w:t>
            </w:r>
            <w:proofErr w:type="spellStart"/>
            <w:r w:rsidRPr="007D606A">
              <w:rPr>
                <w:rFonts w:cs="Arial"/>
                <w:sz w:val="20"/>
              </w:rPr>
              <w:t>Bomens</w:t>
            </w:r>
            <w:proofErr w:type="spellEnd"/>
            <w:r w:rsidRPr="007D606A">
              <w:rPr>
                <w:rFonts w:cs="Arial"/>
                <w:sz w:val="20"/>
              </w:rPr>
              <w:t xml:space="preserve"> Road, Cartwrights Hill</w:t>
            </w:r>
          </w:p>
        </w:tc>
        <w:tc>
          <w:tcPr>
            <w:tcW w:w="968" w:type="dxa"/>
          </w:tcPr>
          <w:p w14:paraId="7755728A" w14:textId="7FD43AAB" w:rsidR="007D606A" w:rsidRPr="007D606A" w:rsidRDefault="007D606A" w:rsidP="00835C3A">
            <w:pPr>
              <w:tabs>
                <w:tab w:val="left" w:pos="2520"/>
              </w:tabs>
              <w:spacing w:after="120"/>
              <w:rPr>
                <w:rFonts w:cs="Arial"/>
                <w:sz w:val="20"/>
              </w:rPr>
            </w:pPr>
            <w:r w:rsidRPr="007D606A">
              <w:rPr>
                <w:rFonts w:cs="Arial"/>
                <w:sz w:val="20"/>
              </w:rPr>
              <w:t>1982</w:t>
            </w:r>
          </w:p>
        </w:tc>
        <w:tc>
          <w:tcPr>
            <w:tcW w:w="2766" w:type="dxa"/>
          </w:tcPr>
          <w:p w14:paraId="24180442" w14:textId="695DCAF3" w:rsidR="007D606A" w:rsidRPr="007D606A" w:rsidRDefault="007D606A" w:rsidP="00835C3A">
            <w:pPr>
              <w:tabs>
                <w:tab w:val="left" w:pos="2520"/>
              </w:tabs>
              <w:spacing w:after="120"/>
              <w:rPr>
                <w:rFonts w:cs="Arial"/>
                <w:sz w:val="20"/>
              </w:rPr>
            </w:pPr>
            <w:r w:rsidRPr="007D606A">
              <w:rPr>
                <w:rFonts w:cs="Arial"/>
                <w:sz w:val="20"/>
              </w:rPr>
              <w:t>Commercial premises (Red Steer Hotel)</w:t>
            </w:r>
          </w:p>
        </w:tc>
      </w:tr>
      <w:tr w:rsidR="007D606A" w:rsidRPr="007D606A" w14:paraId="1F6FBD9E" w14:textId="77777777" w:rsidTr="009527F7">
        <w:trPr>
          <w:trHeight w:val="523"/>
        </w:trPr>
        <w:tc>
          <w:tcPr>
            <w:tcW w:w="1903" w:type="dxa"/>
          </w:tcPr>
          <w:p w14:paraId="12214319" w14:textId="2B2027A7" w:rsidR="007D606A" w:rsidRPr="00835C3A" w:rsidRDefault="007D606A" w:rsidP="007D606A">
            <w:pPr>
              <w:rPr>
                <w:rFonts w:cs="Arial"/>
                <w:sz w:val="20"/>
                <w:lang w:eastAsia="en-US"/>
              </w:rPr>
            </w:pPr>
            <w:r w:rsidRPr="00835C3A">
              <w:rPr>
                <w:rFonts w:cs="Arial"/>
                <w:sz w:val="20"/>
                <w:lang w:eastAsia="en-US"/>
              </w:rPr>
              <w:t xml:space="preserve">Lot </w:t>
            </w:r>
            <w:r>
              <w:rPr>
                <w:rFonts w:cs="Arial"/>
                <w:sz w:val="20"/>
                <w:lang w:eastAsia="en-US"/>
              </w:rPr>
              <w:t>2</w:t>
            </w:r>
            <w:r w:rsidRPr="00835C3A">
              <w:rPr>
                <w:rFonts w:cs="Arial"/>
                <w:sz w:val="20"/>
                <w:lang w:eastAsia="en-US"/>
              </w:rPr>
              <w:t xml:space="preserve"> DP 623409 </w:t>
            </w:r>
          </w:p>
          <w:p w14:paraId="6EED58D4" w14:textId="77777777" w:rsidR="007D606A" w:rsidRPr="007D606A" w:rsidRDefault="007D606A" w:rsidP="007D606A">
            <w:pPr>
              <w:tabs>
                <w:tab w:val="left" w:pos="2520"/>
              </w:tabs>
              <w:spacing w:after="120"/>
              <w:rPr>
                <w:rFonts w:cs="Arial"/>
                <w:sz w:val="20"/>
              </w:rPr>
            </w:pPr>
          </w:p>
        </w:tc>
        <w:tc>
          <w:tcPr>
            <w:tcW w:w="3492" w:type="dxa"/>
          </w:tcPr>
          <w:p w14:paraId="2275A039" w14:textId="14C8E769" w:rsidR="007D606A" w:rsidRPr="007D606A" w:rsidRDefault="007D606A" w:rsidP="007D606A">
            <w:pPr>
              <w:tabs>
                <w:tab w:val="left" w:pos="2520"/>
              </w:tabs>
              <w:spacing w:after="120"/>
              <w:rPr>
                <w:rFonts w:cs="Arial"/>
                <w:sz w:val="20"/>
              </w:rPr>
            </w:pPr>
            <w:r>
              <w:rPr>
                <w:rFonts w:cs="Arial"/>
                <w:sz w:val="20"/>
              </w:rPr>
              <w:t>425 Hampden Ave, Cartwrights Hill</w:t>
            </w:r>
          </w:p>
        </w:tc>
        <w:tc>
          <w:tcPr>
            <w:tcW w:w="968" w:type="dxa"/>
          </w:tcPr>
          <w:p w14:paraId="15907111" w14:textId="735E9C9C" w:rsidR="007D606A" w:rsidRPr="007D606A" w:rsidRDefault="007D606A" w:rsidP="007D606A">
            <w:pPr>
              <w:tabs>
                <w:tab w:val="left" w:pos="2520"/>
              </w:tabs>
              <w:spacing w:after="120"/>
              <w:rPr>
                <w:rFonts w:cs="Arial"/>
                <w:sz w:val="20"/>
              </w:rPr>
            </w:pPr>
            <w:r>
              <w:rPr>
                <w:rFonts w:cs="Arial"/>
                <w:sz w:val="20"/>
              </w:rPr>
              <w:t>1982</w:t>
            </w:r>
          </w:p>
        </w:tc>
        <w:tc>
          <w:tcPr>
            <w:tcW w:w="2766" w:type="dxa"/>
          </w:tcPr>
          <w:p w14:paraId="614E6227" w14:textId="7DC9FFB3" w:rsidR="007D606A" w:rsidRPr="007D606A" w:rsidRDefault="007D606A" w:rsidP="007D606A">
            <w:pPr>
              <w:tabs>
                <w:tab w:val="left" w:pos="2520"/>
              </w:tabs>
              <w:spacing w:after="120"/>
              <w:rPr>
                <w:rFonts w:cs="Arial"/>
                <w:sz w:val="20"/>
              </w:rPr>
            </w:pPr>
            <w:r>
              <w:rPr>
                <w:rFonts w:cs="Arial"/>
                <w:sz w:val="20"/>
              </w:rPr>
              <w:t>Part of Red Steer Hotel (?) – converted service station</w:t>
            </w:r>
          </w:p>
        </w:tc>
      </w:tr>
      <w:tr w:rsidR="007D606A" w:rsidRPr="007D606A" w14:paraId="602A816D" w14:textId="77777777" w:rsidTr="009527F7">
        <w:trPr>
          <w:trHeight w:val="523"/>
        </w:trPr>
        <w:tc>
          <w:tcPr>
            <w:tcW w:w="1903" w:type="dxa"/>
          </w:tcPr>
          <w:p w14:paraId="1CCA1D0F" w14:textId="2D6842A8" w:rsidR="007D606A" w:rsidRPr="007D606A" w:rsidRDefault="007D606A" w:rsidP="007D606A">
            <w:pPr>
              <w:rPr>
                <w:rFonts w:cs="Arial"/>
                <w:sz w:val="20"/>
              </w:rPr>
            </w:pPr>
            <w:r>
              <w:rPr>
                <w:rFonts w:cs="Arial"/>
                <w:sz w:val="20"/>
              </w:rPr>
              <w:t>Lot 1 DP 161778</w:t>
            </w:r>
          </w:p>
        </w:tc>
        <w:tc>
          <w:tcPr>
            <w:tcW w:w="3492" w:type="dxa"/>
          </w:tcPr>
          <w:p w14:paraId="10C986F1" w14:textId="137C52A4" w:rsidR="007D606A" w:rsidRPr="007D606A" w:rsidRDefault="007D606A" w:rsidP="007D606A">
            <w:pPr>
              <w:tabs>
                <w:tab w:val="left" w:pos="2520"/>
              </w:tabs>
              <w:spacing w:after="120"/>
              <w:rPr>
                <w:rFonts w:cs="Arial"/>
                <w:sz w:val="20"/>
              </w:rPr>
            </w:pPr>
            <w:proofErr w:type="spellStart"/>
            <w:r>
              <w:rPr>
                <w:rFonts w:cs="Arial"/>
                <w:sz w:val="20"/>
              </w:rPr>
              <w:t>Cooramin</w:t>
            </w:r>
            <w:proofErr w:type="spellEnd"/>
            <w:r>
              <w:rPr>
                <w:rFonts w:cs="Arial"/>
                <w:sz w:val="20"/>
              </w:rPr>
              <w:t xml:space="preserve"> Street, Cartwrights Hill</w:t>
            </w:r>
          </w:p>
        </w:tc>
        <w:tc>
          <w:tcPr>
            <w:tcW w:w="968" w:type="dxa"/>
          </w:tcPr>
          <w:p w14:paraId="1E4A91C3" w14:textId="2EAC7DA1" w:rsidR="007D606A" w:rsidRPr="007D606A" w:rsidRDefault="007D606A" w:rsidP="007D606A">
            <w:pPr>
              <w:tabs>
                <w:tab w:val="left" w:pos="2520"/>
              </w:tabs>
              <w:spacing w:after="120"/>
              <w:rPr>
                <w:rFonts w:cs="Arial"/>
                <w:sz w:val="20"/>
              </w:rPr>
            </w:pPr>
            <w:r>
              <w:rPr>
                <w:rFonts w:cs="Arial"/>
                <w:sz w:val="20"/>
              </w:rPr>
              <w:t>1956</w:t>
            </w:r>
          </w:p>
        </w:tc>
        <w:tc>
          <w:tcPr>
            <w:tcW w:w="2766" w:type="dxa"/>
          </w:tcPr>
          <w:p w14:paraId="2DC6A0E3" w14:textId="3BF99187" w:rsidR="007D606A" w:rsidRPr="007D606A" w:rsidRDefault="007D606A" w:rsidP="007D606A">
            <w:pPr>
              <w:tabs>
                <w:tab w:val="left" w:pos="2520"/>
              </w:tabs>
              <w:spacing w:after="120"/>
              <w:rPr>
                <w:rFonts w:cs="Arial"/>
                <w:sz w:val="20"/>
              </w:rPr>
            </w:pPr>
            <w:r>
              <w:rPr>
                <w:rFonts w:cs="Arial"/>
                <w:sz w:val="20"/>
              </w:rPr>
              <w:t>Country Women’s Association</w:t>
            </w:r>
          </w:p>
        </w:tc>
      </w:tr>
    </w:tbl>
    <w:p w14:paraId="498CF54D" w14:textId="75DE3F1F" w:rsidR="00461121" w:rsidRPr="00461121" w:rsidRDefault="00461121" w:rsidP="005A13A3">
      <w:pPr>
        <w:tabs>
          <w:tab w:val="left" w:pos="2520"/>
        </w:tabs>
        <w:spacing w:before="120" w:after="120"/>
        <w:rPr>
          <w:rFonts w:cs="Arial"/>
          <w:sz w:val="22"/>
          <w:szCs w:val="22"/>
        </w:rPr>
      </w:pPr>
      <w:r>
        <w:rPr>
          <w:rFonts w:cs="Arial"/>
          <w:b/>
          <w:bCs/>
          <w:sz w:val="22"/>
          <w:szCs w:val="22"/>
        </w:rPr>
        <w:t>It is recommended</w:t>
      </w:r>
      <w:r>
        <w:rPr>
          <w:rFonts w:cs="Arial"/>
          <w:sz w:val="22"/>
          <w:szCs w:val="22"/>
        </w:rPr>
        <w:t xml:space="preserve"> that the Gateway determination include a condition that </w:t>
      </w:r>
      <w:bookmarkStart w:id="2" w:name="_Hlk52291196"/>
      <w:r>
        <w:rPr>
          <w:rFonts w:cs="Arial"/>
          <w:sz w:val="22"/>
          <w:szCs w:val="22"/>
        </w:rPr>
        <w:t xml:space="preserve">the planning proposal be updated to </w:t>
      </w:r>
      <w:r w:rsidR="005A13A3">
        <w:rPr>
          <w:rFonts w:cs="Arial"/>
          <w:sz w:val="22"/>
          <w:szCs w:val="22"/>
        </w:rPr>
        <w:t>reflect</w:t>
      </w:r>
      <w:r>
        <w:rPr>
          <w:rFonts w:cs="Arial"/>
          <w:sz w:val="22"/>
          <w:szCs w:val="22"/>
        </w:rPr>
        <w:t xml:space="preserve"> the </w:t>
      </w:r>
      <w:r w:rsidR="005A13A3">
        <w:rPr>
          <w:rFonts w:cs="Arial"/>
          <w:sz w:val="22"/>
          <w:szCs w:val="22"/>
        </w:rPr>
        <w:t xml:space="preserve">additional </w:t>
      </w:r>
      <w:r>
        <w:rPr>
          <w:rFonts w:cs="Arial"/>
          <w:sz w:val="22"/>
          <w:szCs w:val="22"/>
        </w:rPr>
        <w:t xml:space="preserve">information </w:t>
      </w:r>
      <w:r w:rsidR="005A13A3">
        <w:rPr>
          <w:rFonts w:cs="Arial"/>
          <w:sz w:val="22"/>
          <w:szCs w:val="22"/>
        </w:rPr>
        <w:t>provided</w:t>
      </w:r>
      <w:r>
        <w:rPr>
          <w:rFonts w:cs="Arial"/>
          <w:sz w:val="22"/>
          <w:szCs w:val="22"/>
        </w:rPr>
        <w:t xml:space="preserve"> by Council in relation to the applicability of clause 4.2A allowing the continuation of dwelling opportunities on some lots</w:t>
      </w:r>
      <w:r w:rsidR="005A13A3">
        <w:rPr>
          <w:rFonts w:cs="Arial"/>
          <w:sz w:val="22"/>
          <w:szCs w:val="22"/>
        </w:rPr>
        <w:t xml:space="preserve"> in the </w:t>
      </w:r>
      <w:r w:rsidR="00475A5C">
        <w:rPr>
          <w:rFonts w:cs="Arial"/>
          <w:sz w:val="22"/>
          <w:szCs w:val="22"/>
        </w:rPr>
        <w:t>Cartwrights</w:t>
      </w:r>
      <w:r w:rsidR="005A13A3">
        <w:rPr>
          <w:rFonts w:cs="Arial"/>
          <w:sz w:val="22"/>
          <w:szCs w:val="22"/>
        </w:rPr>
        <w:t xml:space="preserve"> Hill precinct</w:t>
      </w:r>
      <w:r>
        <w:rPr>
          <w:rFonts w:cs="Arial"/>
          <w:sz w:val="22"/>
          <w:szCs w:val="22"/>
        </w:rPr>
        <w:t>.</w:t>
      </w:r>
      <w:bookmarkEnd w:id="2"/>
    </w:p>
    <w:p w14:paraId="754069E9" w14:textId="7B4B25A0" w:rsidR="00A94B21" w:rsidRDefault="00A94B21" w:rsidP="00A94B21">
      <w:pPr>
        <w:spacing w:after="120"/>
        <w:rPr>
          <w:rFonts w:cs="Arial"/>
          <w:sz w:val="22"/>
          <w:szCs w:val="22"/>
        </w:rPr>
      </w:pPr>
      <w:r>
        <w:rPr>
          <w:rFonts w:cs="Arial"/>
          <w:sz w:val="22"/>
          <w:szCs w:val="22"/>
        </w:rPr>
        <w:t xml:space="preserve">Lot 101 DP1095889 is 10ha in size. Approximately 4ha of the lot is located within the subject land and the remaining 6ha is located outside the subject land (see Figure 7). This results in the lot being split between the proposed RU6 Zone (with a 200ha MLS) and its current RU4 zone (with a 2ha MLS). </w:t>
      </w:r>
    </w:p>
    <w:p w14:paraId="432BF3FA" w14:textId="37AA5591" w:rsidR="00A94B21" w:rsidRDefault="00A94B21" w:rsidP="00A94B21">
      <w:pPr>
        <w:pStyle w:val="Caption"/>
        <w:keepNext/>
        <w:spacing w:after="0"/>
        <w:rPr>
          <w:color w:val="auto"/>
          <w:sz w:val="20"/>
          <w:szCs w:val="20"/>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7</w:t>
      </w:r>
      <w:r>
        <w:rPr>
          <w:color w:val="auto"/>
          <w:sz w:val="22"/>
          <w:szCs w:val="22"/>
        </w:rPr>
        <w:fldChar w:fldCharType="end"/>
      </w:r>
      <w:r>
        <w:rPr>
          <w:color w:val="auto"/>
          <w:sz w:val="22"/>
          <w:szCs w:val="22"/>
        </w:rPr>
        <w:t xml:space="preserve"> - Split Zone for Lot 101 DP 1095889, </w:t>
      </w:r>
      <w:r w:rsidR="003B738E">
        <w:rPr>
          <w:color w:val="auto"/>
          <w:sz w:val="22"/>
          <w:szCs w:val="22"/>
        </w:rPr>
        <w:t xml:space="preserve">North Wagga Wagga </w:t>
      </w:r>
      <w:r>
        <w:rPr>
          <w:color w:val="auto"/>
          <w:sz w:val="20"/>
          <w:szCs w:val="20"/>
        </w:rPr>
        <w:t>(extract from planning proposal)</w:t>
      </w:r>
    </w:p>
    <w:p w14:paraId="083B8814" w14:textId="00E938BA" w:rsidR="00A94B21" w:rsidRDefault="00A94B21" w:rsidP="00A94B21">
      <w:pPr>
        <w:tabs>
          <w:tab w:val="left" w:pos="2520"/>
        </w:tabs>
        <w:spacing w:after="120"/>
        <w:rPr>
          <w:rFonts w:cs="Arial"/>
          <w:sz w:val="22"/>
          <w:szCs w:val="22"/>
        </w:rPr>
      </w:pPr>
      <w:r>
        <w:rPr>
          <w:noProof/>
        </w:rPr>
        <w:drawing>
          <wp:inline distT="0" distB="0" distL="0" distR="0" wp14:anchorId="4DCBB261" wp14:editId="63809F9F">
            <wp:extent cx="3586038" cy="2540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5833" cy="2546957"/>
                    </a:xfrm>
                    <a:prstGeom prst="rect">
                      <a:avLst/>
                    </a:prstGeom>
                    <a:noFill/>
                    <a:ln>
                      <a:noFill/>
                    </a:ln>
                  </pic:spPr>
                </pic:pic>
              </a:graphicData>
            </a:graphic>
          </wp:inline>
        </w:drawing>
      </w:r>
    </w:p>
    <w:p w14:paraId="6EE01AF7" w14:textId="4A0C91A8" w:rsidR="00A94B21" w:rsidRDefault="00461121" w:rsidP="00A94B21">
      <w:pPr>
        <w:tabs>
          <w:tab w:val="left" w:pos="2520"/>
        </w:tabs>
        <w:spacing w:after="120"/>
        <w:rPr>
          <w:rFonts w:cs="Arial"/>
          <w:sz w:val="22"/>
          <w:szCs w:val="22"/>
        </w:rPr>
      </w:pPr>
      <w:r>
        <w:rPr>
          <w:rFonts w:cs="Arial"/>
          <w:sz w:val="22"/>
          <w:szCs w:val="22"/>
        </w:rPr>
        <w:t xml:space="preserve">To </w:t>
      </w:r>
      <w:bookmarkStart w:id="3" w:name="_Hlk52182772"/>
      <w:r w:rsidR="00A94B21">
        <w:rPr>
          <w:rFonts w:cs="Arial"/>
          <w:sz w:val="22"/>
          <w:szCs w:val="22"/>
        </w:rPr>
        <w:t xml:space="preserve">subdivide </w:t>
      </w:r>
      <w:r w:rsidR="00A30144">
        <w:rPr>
          <w:rFonts w:cs="Arial"/>
          <w:sz w:val="22"/>
          <w:szCs w:val="22"/>
        </w:rPr>
        <w:t xml:space="preserve">land </w:t>
      </w:r>
      <w:r w:rsidR="00A94B21">
        <w:rPr>
          <w:rFonts w:cs="Arial"/>
          <w:sz w:val="22"/>
          <w:szCs w:val="22"/>
        </w:rPr>
        <w:t xml:space="preserve">with an existing dwelling, each lot must maintain the MLS illustrated on the MLS map. In this case the northern part of Lot 101 DP1095889 would need to maintain a minimum lot size of 200ha. Council has indicated that it is not its intention to extinguish the development opportunities for this lot outside of the proposed RU6 Zone boundary. Therefore, </w:t>
      </w:r>
      <w:r w:rsidR="00A94B21">
        <w:rPr>
          <w:rFonts w:cs="Arial"/>
          <w:b/>
          <w:sz w:val="22"/>
          <w:szCs w:val="22"/>
        </w:rPr>
        <w:t>it is recommended</w:t>
      </w:r>
      <w:r w:rsidR="00A94B21">
        <w:rPr>
          <w:rFonts w:cs="Arial"/>
          <w:sz w:val="22"/>
          <w:szCs w:val="22"/>
        </w:rPr>
        <w:t xml:space="preserve"> that the Gateway determination include a condition that the part of Lot 101 that is located within the subject land have a MLS of 4ha (instead of the proposed 200ha) to enable it to be subdivided from the remaining 6ha portion outside the subject land. This would retain the development opportunities on the portion of Lot 101 that </w:t>
      </w:r>
      <w:r w:rsidR="00A94B21">
        <w:rPr>
          <w:rFonts w:cs="Arial"/>
          <w:sz w:val="22"/>
          <w:szCs w:val="22"/>
        </w:rPr>
        <w:lastRenderedPageBreak/>
        <w:t xml:space="preserve">is located outside the subject land </w:t>
      </w:r>
      <w:r w:rsidR="00A94B21" w:rsidRPr="0017524A">
        <w:rPr>
          <w:rFonts w:cs="Arial"/>
          <w:sz w:val="22"/>
          <w:szCs w:val="22"/>
        </w:rPr>
        <w:t>boundary</w:t>
      </w:r>
      <w:r w:rsidR="001B31D5" w:rsidRPr="0017524A">
        <w:rPr>
          <w:rFonts w:cs="Arial"/>
          <w:sz w:val="22"/>
          <w:szCs w:val="22"/>
        </w:rPr>
        <w:t xml:space="preserve"> (</w:t>
      </w:r>
      <w:proofErr w:type="spellStart"/>
      <w:r w:rsidR="001B31D5" w:rsidRPr="0017524A">
        <w:rPr>
          <w:rFonts w:cs="Arial"/>
          <w:sz w:val="22"/>
          <w:szCs w:val="22"/>
        </w:rPr>
        <w:t>ie</w:t>
      </w:r>
      <w:proofErr w:type="spellEnd"/>
      <w:r w:rsidR="001B31D5" w:rsidRPr="0017524A">
        <w:rPr>
          <w:rFonts w:cs="Arial"/>
          <w:sz w:val="22"/>
          <w:szCs w:val="22"/>
        </w:rPr>
        <w:t>. up to 3 additional lots)</w:t>
      </w:r>
      <w:r w:rsidR="00A94B21" w:rsidRPr="0017524A">
        <w:rPr>
          <w:rFonts w:cs="Arial"/>
          <w:sz w:val="22"/>
          <w:szCs w:val="22"/>
        </w:rPr>
        <w:t>.</w:t>
      </w:r>
      <w:bookmarkEnd w:id="3"/>
      <w:r w:rsidR="000A5846" w:rsidRPr="0017524A">
        <w:rPr>
          <w:rFonts w:cs="Arial"/>
          <w:sz w:val="22"/>
          <w:szCs w:val="22"/>
        </w:rPr>
        <w:t xml:space="preserve"> </w:t>
      </w:r>
      <w:r w:rsidR="00C06C08" w:rsidRPr="0017524A">
        <w:rPr>
          <w:rFonts w:cs="Arial"/>
          <w:sz w:val="22"/>
          <w:szCs w:val="22"/>
        </w:rPr>
        <w:t>The</w:t>
      </w:r>
      <w:r w:rsidR="00C06C08">
        <w:rPr>
          <w:rFonts w:cs="Arial"/>
          <w:sz w:val="22"/>
          <w:szCs w:val="22"/>
        </w:rPr>
        <w:t xml:space="preserve"> Department has discussed this option with Council staff. It was agreed that it is the most appropriate option to ensure that the lots outside the planning proposal area </w:t>
      </w:r>
      <w:proofErr w:type="gramStart"/>
      <w:r w:rsidR="00C06C08">
        <w:rPr>
          <w:rFonts w:cs="Arial"/>
          <w:sz w:val="22"/>
          <w:szCs w:val="22"/>
        </w:rPr>
        <w:t>are able to</w:t>
      </w:r>
      <w:proofErr w:type="gramEnd"/>
      <w:r w:rsidR="00C06C08">
        <w:rPr>
          <w:rFonts w:cs="Arial"/>
          <w:sz w:val="22"/>
          <w:szCs w:val="22"/>
        </w:rPr>
        <w:t xml:space="preserve"> be subdivided.</w:t>
      </w:r>
    </w:p>
    <w:p w14:paraId="26775C4F" w14:textId="77777777" w:rsidR="00A94B21" w:rsidRDefault="00A94B21" w:rsidP="00A94B21">
      <w:pPr>
        <w:tabs>
          <w:tab w:val="left" w:pos="2520"/>
        </w:tabs>
        <w:spacing w:after="120"/>
        <w:rPr>
          <w:rFonts w:cs="Arial"/>
          <w:sz w:val="22"/>
          <w:szCs w:val="22"/>
        </w:rPr>
      </w:pPr>
      <w:r>
        <w:rPr>
          <w:rFonts w:cs="Arial"/>
          <w:sz w:val="22"/>
          <w:szCs w:val="22"/>
        </w:rPr>
        <w:t xml:space="preserve">Note: Clause 4.1A of the </w:t>
      </w:r>
      <w:r>
        <w:rPr>
          <w:rFonts w:cs="Arial"/>
          <w:i/>
          <w:sz w:val="22"/>
          <w:szCs w:val="22"/>
        </w:rPr>
        <w:t>Wagga Wagga Local Environmental Plan 2010</w:t>
      </w:r>
      <w:r>
        <w:rPr>
          <w:rFonts w:cs="Arial"/>
          <w:sz w:val="22"/>
          <w:szCs w:val="22"/>
        </w:rPr>
        <w:t xml:space="preserve"> applies to lots with split zones that include at least one lot that is land in a residential, business or industrial zone. Unfortunately, the subject lot does not meet the criteria for clause 4.1A Exceptions to minimum subdivision lot sizes for certain split zones as both zones are rural. </w:t>
      </w:r>
      <w:r>
        <w:rPr>
          <w:rFonts w:cs="Arial"/>
          <w:sz w:val="22"/>
          <w:szCs w:val="22"/>
        </w:rPr>
        <w:br/>
        <w:t xml:space="preserve">Additionally, Clause 4.6 Exceptions to development standards of the </w:t>
      </w:r>
      <w:r>
        <w:rPr>
          <w:rFonts w:cs="Arial"/>
          <w:i/>
          <w:sz w:val="22"/>
          <w:szCs w:val="22"/>
        </w:rPr>
        <w:t xml:space="preserve">Wagga Wagga Local Environmental Plan 2010, </w:t>
      </w:r>
      <w:r>
        <w:rPr>
          <w:rFonts w:cs="Arial"/>
          <w:sz w:val="22"/>
          <w:szCs w:val="22"/>
        </w:rPr>
        <w:t>is also unable to be utilised as the northern part of the lot would result in a lot that is less than 90% of the minimum area specified by the proposed MLS.</w:t>
      </w:r>
    </w:p>
    <w:p w14:paraId="4C1D0FCD" w14:textId="77777777" w:rsidR="00A94B21" w:rsidRDefault="00A94B21" w:rsidP="00A94B21">
      <w:pPr>
        <w:keepNext/>
        <w:tabs>
          <w:tab w:val="left" w:pos="2520"/>
        </w:tabs>
        <w:rPr>
          <w:rFonts w:cs="Arial"/>
          <w:b/>
          <w:sz w:val="22"/>
          <w:szCs w:val="22"/>
        </w:rPr>
      </w:pPr>
      <w:r>
        <w:rPr>
          <w:rFonts w:cs="Arial"/>
          <w:b/>
          <w:sz w:val="22"/>
          <w:szCs w:val="22"/>
        </w:rPr>
        <w:t>5.2 Environmental</w:t>
      </w:r>
    </w:p>
    <w:p w14:paraId="11F401CB" w14:textId="77777777" w:rsidR="00A94B21" w:rsidRDefault="00A94B21" w:rsidP="00A94B21">
      <w:pPr>
        <w:tabs>
          <w:tab w:val="left" w:pos="2520"/>
        </w:tabs>
        <w:spacing w:after="120"/>
        <w:rPr>
          <w:rFonts w:cs="Arial"/>
          <w:sz w:val="22"/>
          <w:szCs w:val="22"/>
        </w:rPr>
      </w:pPr>
      <w:r>
        <w:rPr>
          <w:rFonts w:cs="Arial"/>
          <w:sz w:val="22"/>
          <w:szCs w:val="22"/>
        </w:rPr>
        <w:t>There are no environmental impacts from the proposal as the rezoning and change in lot size will not result in any land use changes on the subject land.</w:t>
      </w:r>
    </w:p>
    <w:p w14:paraId="58F585D0" w14:textId="77777777" w:rsidR="00A94B21" w:rsidRDefault="00A94B21" w:rsidP="00A94B21">
      <w:pPr>
        <w:pStyle w:val="Heading1"/>
        <w:spacing w:after="0"/>
        <w:rPr>
          <w:sz w:val="22"/>
          <w:szCs w:val="22"/>
        </w:rPr>
      </w:pPr>
      <w:r>
        <w:rPr>
          <w:sz w:val="22"/>
          <w:szCs w:val="22"/>
        </w:rPr>
        <w:t>5.3 Economic</w:t>
      </w:r>
    </w:p>
    <w:p w14:paraId="5E1B57D3" w14:textId="7F537C49" w:rsidR="00A94B21" w:rsidRDefault="00C06C08" w:rsidP="00A94B21">
      <w:pPr>
        <w:tabs>
          <w:tab w:val="left" w:pos="2520"/>
        </w:tabs>
        <w:spacing w:after="120"/>
        <w:rPr>
          <w:rFonts w:cs="Arial"/>
          <w:sz w:val="22"/>
          <w:szCs w:val="22"/>
        </w:rPr>
      </w:pPr>
      <w:r>
        <w:rPr>
          <w:rFonts w:cs="Arial"/>
          <w:sz w:val="22"/>
          <w:szCs w:val="22"/>
        </w:rPr>
        <w:t>The planning proposal discusses economic impacts on page 18 and 19. In summary the planning proposal s</w:t>
      </w:r>
      <w:r w:rsidR="009F3021">
        <w:rPr>
          <w:rFonts w:cs="Arial"/>
          <w:sz w:val="22"/>
          <w:szCs w:val="22"/>
        </w:rPr>
        <w:t xml:space="preserve">eeks to avoid serious economic impacts to the city and region, by protecting the Wagga Wagga SAP area. As discussed above there has been significant investment into the Wagga Wagga SAP area in order to attract </w:t>
      </w:r>
      <w:r w:rsidR="003B738E">
        <w:rPr>
          <w:rFonts w:cs="Arial"/>
          <w:sz w:val="22"/>
          <w:szCs w:val="22"/>
        </w:rPr>
        <w:t xml:space="preserve">further </w:t>
      </w:r>
      <w:r w:rsidR="009F3021">
        <w:rPr>
          <w:rFonts w:cs="Arial"/>
          <w:sz w:val="22"/>
          <w:szCs w:val="22"/>
        </w:rPr>
        <w:t xml:space="preserve">investment and generate jobs for the Wagga Wagga region. </w:t>
      </w:r>
    </w:p>
    <w:p w14:paraId="7F989F3F" w14:textId="4609F5AE" w:rsidR="009F3021" w:rsidRDefault="009F3021" w:rsidP="00A94B21">
      <w:pPr>
        <w:tabs>
          <w:tab w:val="left" w:pos="2520"/>
        </w:tabs>
        <w:spacing w:after="120"/>
        <w:rPr>
          <w:rFonts w:cs="Arial"/>
          <w:sz w:val="22"/>
          <w:szCs w:val="22"/>
        </w:rPr>
      </w:pPr>
      <w:r>
        <w:rPr>
          <w:rFonts w:cs="Arial"/>
          <w:sz w:val="22"/>
          <w:szCs w:val="22"/>
        </w:rPr>
        <w:t xml:space="preserve">Avoiding the intensification of sensitive receptors adjoining the SAP area is necessary to preserve the success of the SAP. </w:t>
      </w:r>
      <w:r w:rsidR="003B738E">
        <w:rPr>
          <w:rFonts w:cs="Arial"/>
          <w:sz w:val="22"/>
          <w:szCs w:val="22"/>
        </w:rPr>
        <w:t>T</w:t>
      </w:r>
      <w:r>
        <w:rPr>
          <w:rFonts w:cs="Arial"/>
          <w:sz w:val="22"/>
          <w:szCs w:val="22"/>
        </w:rPr>
        <w:t xml:space="preserve">he planning proposal recognises </w:t>
      </w:r>
      <w:r w:rsidR="003B738E">
        <w:rPr>
          <w:rFonts w:cs="Arial"/>
          <w:sz w:val="22"/>
          <w:szCs w:val="22"/>
        </w:rPr>
        <w:t xml:space="preserve">the development potential of </w:t>
      </w:r>
      <w:r w:rsidR="00C75D9F">
        <w:rPr>
          <w:rFonts w:cs="Arial"/>
          <w:sz w:val="22"/>
          <w:szCs w:val="22"/>
        </w:rPr>
        <w:t>the land will be reduced</w:t>
      </w:r>
      <w:r w:rsidR="003B738E">
        <w:rPr>
          <w:rFonts w:cs="Arial"/>
          <w:sz w:val="22"/>
          <w:szCs w:val="22"/>
        </w:rPr>
        <w:t xml:space="preserve"> however </w:t>
      </w:r>
      <w:r w:rsidR="00C75D9F">
        <w:rPr>
          <w:rFonts w:cs="Arial"/>
          <w:sz w:val="22"/>
          <w:szCs w:val="22"/>
        </w:rPr>
        <w:t xml:space="preserve">the value of the land will be </w:t>
      </w:r>
      <w:r w:rsidR="00AD3D92">
        <w:rPr>
          <w:rFonts w:cs="Arial"/>
          <w:sz w:val="22"/>
          <w:szCs w:val="22"/>
        </w:rPr>
        <w:t xml:space="preserve">retained to the extent that existing land uses have been established. </w:t>
      </w:r>
    </w:p>
    <w:p w14:paraId="0E238A5D" w14:textId="6BEBE4A9" w:rsidR="00AD3D92" w:rsidRPr="00895ABB" w:rsidRDefault="00AD3D92" w:rsidP="00A94B21">
      <w:pPr>
        <w:tabs>
          <w:tab w:val="left" w:pos="2520"/>
        </w:tabs>
        <w:spacing w:after="120"/>
        <w:rPr>
          <w:rFonts w:cs="Arial"/>
          <w:sz w:val="22"/>
          <w:szCs w:val="22"/>
        </w:rPr>
      </w:pPr>
      <w:r w:rsidRPr="00895ABB">
        <w:rPr>
          <w:rFonts w:cs="Arial"/>
          <w:sz w:val="22"/>
          <w:szCs w:val="22"/>
        </w:rPr>
        <w:t xml:space="preserve">It is considered that whilst the landowners </w:t>
      </w:r>
      <w:r w:rsidR="00895ABB">
        <w:rPr>
          <w:rFonts w:cs="Arial"/>
          <w:sz w:val="22"/>
          <w:szCs w:val="22"/>
        </w:rPr>
        <w:t>may</w:t>
      </w:r>
      <w:r w:rsidRPr="00895ABB">
        <w:rPr>
          <w:rFonts w:cs="Arial"/>
          <w:sz w:val="22"/>
          <w:szCs w:val="22"/>
        </w:rPr>
        <w:t xml:space="preserve"> experience an economic impact the economic benefit offered by the SAP is extremely important to Wagga Wagga and the wider region. Therefore, the rezoning and minimum lot size changes have been adequately justified, considering the broader economic benefits. </w:t>
      </w:r>
    </w:p>
    <w:p w14:paraId="5A051CA2" w14:textId="77777777" w:rsidR="00A94B21" w:rsidRDefault="00A94B21" w:rsidP="00A94B21">
      <w:pPr>
        <w:tabs>
          <w:tab w:val="left" w:pos="2520"/>
        </w:tabs>
        <w:spacing w:before="120"/>
        <w:rPr>
          <w:rFonts w:cs="Arial"/>
          <w:b/>
          <w:sz w:val="22"/>
          <w:szCs w:val="22"/>
        </w:rPr>
      </w:pPr>
      <w:r w:rsidRPr="00895ABB">
        <w:rPr>
          <w:rFonts w:cs="Arial"/>
          <w:b/>
          <w:sz w:val="22"/>
          <w:szCs w:val="22"/>
        </w:rPr>
        <w:t>5.4 Infrastructure</w:t>
      </w:r>
      <w:r>
        <w:rPr>
          <w:rFonts w:cs="Arial"/>
          <w:b/>
          <w:sz w:val="22"/>
          <w:szCs w:val="22"/>
        </w:rPr>
        <w:t xml:space="preserve"> </w:t>
      </w:r>
    </w:p>
    <w:p w14:paraId="11284AAC" w14:textId="77777777" w:rsidR="00A94B21" w:rsidRDefault="00A94B21" w:rsidP="00A94B21">
      <w:pPr>
        <w:tabs>
          <w:tab w:val="left" w:pos="2520"/>
        </w:tabs>
        <w:spacing w:after="120"/>
        <w:rPr>
          <w:rFonts w:cs="Arial"/>
          <w:sz w:val="22"/>
          <w:szCs w:val="22"/>
        </w:rPr>
      </w:pPr>
      <w:r>
        <w:rPr>
          <w:rFonts w:cs="Arial"/>
          <w:sz w:val="22"/>
          <w:szCs w:val="22"/>
        </w:rPr>
        <w:t>There are no infrastructure impacts from the proposal as the rezoning and change in lot size will not result in any land use changes on the subject land.</w:t>
      </w:r>
    </w:p>
    <w:p w14:paraId="51C55777" w14:textId="77777777" w:rsidR="00A94B21" w:rsidRDefault="00A94B21" w:rsidP="00A94B21">
      <w:pPr>
        <w:pBdr>
          <w:bottom w:val="single" w:sz="4" w:space="1" w:color="auto"/>
        </w:pBdr>
        <w:tabs>
          <w:tab w:val="left" w:pos="2520"/>
        </w:tabs>
        <w:spacing w:before="240" w:after="120"/>
        <w:rPr>
          <w:rFonts w:cs="Arial"/>
          <w:b/>
          <w:sz w:val="22"/>
          <w:szCs w:val="22"/>
        </w:rPr>
      </w:pPr>
      <w:r>
        <w:rPr>
          <w:rFonts w:cs="Arial"/>
          <w:b/>
          <w:sz w:val="22"/>
          <w:szCs w:val="22"/>
        </w:rPr>
        <w:t>6. CONSULTATION</w:t>
      </w:r>
    </w:p>
    <w:p w14:paraId="1AB945CD" w14:textId="77777777" w:rsidR="00A94B21" w:rsidRDefault="00A94B21" w:rsidP="00A94B21">
      <w:pPr>
        <w:tabs>
          <w:tab w:val="left" w:pos="2520"/>
        </w:tabs>
        <w:spacing w:before="120"/>
        <w:rPr>
          <w:rFonts w:cs="Arial"/>
          <w:b/>
          <w:sz w:val="22"/>
          <w:szCs w:val="22"/>
        </w:rPr>
      </w:pPr>
      <w:r>
        <w:rPr>
          <w:rFonts w:cs="Arial"/>
          <w:b/>
          <w:sz w:val="22"/>
          <w:szCs w:val="22"/>
        </w:rPr>
        <w:t>6.1 Community</w:t>
      </w:r>
    </w:p>
    <w:p w14:paraId="50B78D95" w14:textId="2D955DB6" w:rsidR="00A94B21" w:rsidRDefault="00A94B21" w:rsidP="00A94B21">
      <w:pPr>
        <w:tabs>
          <w:tab w:val="left" w:pos="2520"/>
        </w:tabs>
        <w:spacing w:after="120"/>
        <w:rPr>
          <w:rFonts w:cs="Arial"/>
          <w:sz w:val="22"/>
          <w:szCs w:val="22"/>
        </w:rPr>
      </w:pPr>
      <w:r>
        <w:rPr>
          <w:rFonts w:cs="Arial"/>
          <w:sz w:val="22"/>
          <w:szCs w:val="22"/>
        </w:rPr>
        <w:t>Council ha</w:t>
      </w:r>
      <w:r w:rsidR="003B738E">
        <w:rPr>
          <w:rFonts w:cs="Arial"/>
          <w:sz w:val="22"/>
          <w:szCs w:val="22"/>
        </w:rPr>
        <w:t>s</w:t>
      </w:r>
      <w:r w:rsidR="00AD3D92">
        <w:rPr>
          <w:rFonts w:cs="Arial"/>
          <w:sz w:val="22"/>
          <w:szCs w:val="22"/>
        </w:rPr>
        <w:t xml:space="preserve"> indicated that</w:t>
      </w:r>
      <w:r>
        <w:rPr>
          <w:rFonts w:cs="Arial"/>
          <w:sz w:val="22"/>
          <w:szCs w:val="22"/>
        </w:rPr>
        <w:t xml:space="preserve"> consultation will</w:t>
      </w:r>
      <w:r w:rsidR="00AD3D92">
        <w:rPr>
          <w:rFonts w:cs="Arial"/>
          <w:sz w:val="22"/>
          <w:szCs w:val="22"/>
        </w:rPr>
        <w:t xml:space="preserve"> be</w:t>
      </w:r>
      <w:r>
        <w:rPr>
          <w:rFonts w:cs="Arial"/>
          <w:sz w:val="22"/>
          <w:szCs w:val="22"/>
        </w:rPr>
        <w:t xml:space="preserve"> undertake</w:t>
      </w:r>
      <w:r w:rsidR="00AD3D92">
        <w:rPr>
          <w:rFonts w:cs="Arial"/>
          <w:sz w:val="22"/>
          <w:szCs w:val="22"/>
        </w:rPr>
        <w:t>n</w:t>
      </w:r>
      <w:r>
        <w:rPr>
          <w:rFonts w:cs="Arial"/>
          <w:sz w:val="22"/>
          <w:szCs w:val="22"/>
        </w:rPr>
        <w:t xml:space="preserve"> for this proposal</w:t>
      </w:r>
      <w:r w:rsidR="0017524A">
        <w:rPr>
          <w:rFonts w:cs="Arial"/>
          <w:sz w:val="22"/>
          <w:szCs w:val="22"/>
        </w:rPr>
        <w:t xml:space="preserve"> (Part 5 and 6 of the planning proposal).</w:t>
      </w:r>
      <w:r>
        <w:rPr>
          <w:rFonts w:cs="Arial"/>
          <w:sz w:val="22"/>
          <w:szCs w:val="22"/>
        </w:rPr>
        <w:t xml:space="preserve"> Given the sensitive nature of this proposal, it is considered appropriate for Council to directly engage with </w:t>
      </w:r>
      <w:r w:rsidR="004A4A6E">
        <w:rPr>
          <w:rFonts w:cs="Arial"/>
          <w:sz w:val="22"/>
          <w:szCs w:val="22"/>
        </w:rPr>
        <w:t>all</w:t>
      </w:r>
      <w:r>
        <w:rPr>
          <w:rFonts w:cs="Arial"/>
          <w:sz w:val="22"/>
          <w:szCs w:val="22"/>
        </w:rPr>
        <w:t xml:space="preserve"> landowners</w:t>
      </w:r>
      <w:r w:rsidR="004A4A6E">
        <w:rPr>
          <w:rFonts w:cs="Arial"/>
          <w:sz w:val="22"/>
          <w:szCs w:val="22"/>
        </w:rPr>
        <w:t xml:space="preserve"> impacted by the change of zoning and minimum lots size changes,</w:t>
      </w:r>
      <w:r>
        <w:rPr>
          <w:rFonts w:cs="Arial"/>
          <w:sz w:val="22"/>
          <w:szCs w:val="22"/>
        </w:rPr>
        <w:t xml:space="preserve"> in addition to the minimum </w:t>
      </w:r>
      <w:proofErr w:type="gramStart"/>
      <w:r>
        <w:rPr>
          <w:rFonts w:cs="Arial"/>
          <w:sz w:val="22"/>
          <w:szCs w:val="22"/>
        </w:rPr>
        <w:t>28 day</w:t>
      </w:r>
      <w:proofErr w:type="gramEnd"/>
      <w:r>
        <w:rPr>
          <w:rFonts w:cs="Arial"/>
          <w:sz w:val="22"/>
          <w:szCs w:val="22"/>
        </w:rPr>
        <w:t xml:space="preserve"> requirements.</w:t>
      </w:r>
    </w:p>
    <w:p w14:paraId="2CBF6B3E" w14:textId="77777777" w:rsidR="00A94B21" w:rsidRDefault="00A94B21" w:rsidP="00A94B21">
      <w:pPr>
        <w:tabs>
          <w:tab w:val="left" w:pos="2520"/>
        </w:tabs>
        <w:spacing w:before="120"/>
        <w:rPr>
          <w:rFonts w:cs="Arial"/>
          <w:b/>
          <w:sz w:val="22"/>
          <w:szCs w:val="22"/>
        </w:rPr>
      </w:pPr>
      <w:r>
        <w:rPr>
          <w:rFonts w:cs="Arial"/>
          <w:b/>
          <w:sz w:val="22"/>
          <w:szCs w:val="22"/>
        </w:rPr>
        <w:t>6.2 Agencies</w:t>
      </w:r>
    </w:p>
    <w:p w14:paraId="4681E265" w14:textId="77777777" w:rsidR="00A94B21" w:rsidRDefault="00A94B21" w:rsidP="00A94B21">
      <w:pPr>
        <w:tabs>
          <w:tab w:val="left" w:pos="2520"/>
        </w:tabs>
        <w:spacing w:after="120"/>
        <w:rPr>
          <w:rFonts w:cs="Arial"/>
          <w:sz w:val="22"/>
          <w:szCs w:val="22"/>
        </w:rPr>
      </w:pPr>
      <w:r>
        <w:rPr>
          <w:rFonts w:cs="Arial"/>
          <w:sz w:val="22"/>
          <w:szCs w:val="22"/>
        </w:rPr>
        <w:t>Agency consultation is not considered necessary for this proposal.</w:t>
      </w:r>
    </w:p>
    <w:p w14:paraId="7FD7115B" w14:textId="77777777" w:rsidR="00A94B21" w:rsidRDefault="00A94B21" w:rsidP="009527F7">
      <w:pPr>
        <w:pBdr>
          <w:bottom w:val="single" w:sz="4" w:space="1" w:color="auto"/>
        </w:pBdr>
        <w:spacing w:before="120" w:after="120"/>
        <w:rPr>
          <w:b/>
          <w:sz w:val="22"/>
          <w:szCs w:val="22"/>
        </w:rPr>
      </w:pPr>
      <w:r>
        <w:rPr>
          <w:b/>
          <w:sz w:val="22"/>
          <w:szCs w:val="22"/>
        </w:rPr>
        <w:t xml:space="preserve">7. TIME FRAME </w:t>
      </w:r>
    </w:p>
    <w:p w14:paraId="78C1DA00" w14:textId="19F2B33A" w:rsidR="00A94B21" w:rsidRDefault="00A94B21" w:rsidP="00A94B21">
      <w:pPr>
        <w:pBdr>
          <w:bottom w:val="single" w:sz="4" w:space="1" w:color="auto"/>
        </w:pBdr>
        <w:tabs>
          <w:tab w:val="left" w:pos="2520"/>
        </w:tabs>
        <w:spacing w:after="120"/>
        <w:rPr>
          <w:rFonts w:cs="Arial"/>
          <w:sz w:val="22"/>
          <w:szCs w:val="22"/>
        </w:rPr>
      </w:pPr>
      <w:r>
        <w:rPr>
          <w:rFonts w:cs="Arial"/>
          <w:sz w:val="22"/>
          <w:szCs w:val="22"/>
        </w:rPr>
        <w:t xml:space="preserve">Council’s planning proposal indicates a completion date of approximately 9 months. </w:t>
      </w:r>
      <w:r w:rsidR="0017524A">
        <w:rPr>
          <w:rFonts w:cs="Arial"/>
          <w:sz w:val="22"/>
          <w:szCs w:val="22"/>
        </w:rPr>
        <w:t>Given the sensitive nature associated with the delivery of the SAP and the amendments required the SEPP (Activation Precincts), i</w:t>
      </w:r>
      <w:r>
        <w:rPr>
          <w:rFonts w:cs="Arial"/>
          <w:sz w:val="22"/>
          <w:szCs w:val="22"/>
        </w:rPr>
        <w:t xml:space="preserve">t is considered more appropriate to issue a standard </w:t>
      </w:r>
      <w:r w:rsidR="0017524A">
        <w:rPr>
          <w:rFonts w:cs="Arial"/>
          <w:sz w:val="22"/>
          <w:szCs w:val="22"/>
        </w:rPr>
        <w:t>6</w:t>
      </w:r>
      <w:r>
        <w:rPr>
          <w:rFonts w:cs="Arial"/>
          <w:sz w:val="22"/>
          <w:szCs w:val="22"/>
        </w:rPr>
        <w:t>-month completion date.</w:t>
      </w:r>
    </w:p>
    <w:p w14:paraId="3FD51B46" w14:textId="77777777" w:rsidR="00A94B21" w:rsidRDefault="00A94B21" w:rsidP="00A94B21">
      <w:pPr>
        <w:pBdr>
          <w:bottom w:val="single" w:sz="4" w:space="1" w:color="auto"/>
        </w:pBdr>
        <w:tabs>
          <w:tab w:val="left" w:pos="2520"/>
        </w:tabs>
        <w:spacing w:before="240" w:after="120"/>
        <w:rPr>
          <w:rFonts w:cs="Arial"/>
          <w:b/>
          <w:sz w:val="22"/>
          <w:szCs w:val="22"/>
        </w:rPr>
      </w:pPr>
      <w:bookmarkStart w:id="4" w:name="_Hlk524428927"/>
      <w:r>
        <w:rPr>
          <w:rFonts w:cs="Arial"/>
          <w:b/>
          <w:sz w:val="22"/>
          <w:szCs w:val="22"/>
        </w:rPr>
        <w:t>8. LOCAL PLAN-MAKING AUTHORITY</w:t>
      </w:r>
    </w:p>
    <w:bookmarkEnd w:id="4"/>
    <w:p w14:paraId="6D842E35" w14:textId="1339BD8D" w:rsidR="00A94B21" w:rsidRDefault="00A94B21" w:rsidP="00A94B21">
      <w:pPr>
        <w:tabs>
          <w:tab w:val="left" w:pos="2520"/>
        </w:tabs>
        <w:spacing w:before="120" w:after="120"/>
        <w:rPr>
          <w:rFonts w:cs="Arial"/>
          <w:sz w:val="22"/>
          <w:szCs w:val="22"/>
        </w:rPr>
      </w:pPr>
      <w:r>
        <w:rPr>
          <w:rFonts w:cs="Arial"/>
          <w:sz w:val="22"/>
          <w:szCs w:val="22"/>
        </w:rPr>
        <w:t xml:space="preserve">Council has requested to be the local plan-making authority. Given the extensive strategic work to justify the rezoning as part of the Wagga Wagga SAP, the </w:t>
      </w:r>
      <w:r w:rsidR="00C13596">
        <w:rPr>
          <w:rFonts w:cs="Arial"/>
          <w:sz w:val="22"/>
          <w:szCs w:val="22"/>
        </w:rPr>
        <w:t>request</w:t>
      </w:r>
      <w:r>
        <w:rPr>
          <w:rFonts w:cs="Arial"/>
          <w:sz w:val="22"/>
          <w:szCs w:val="22"/>
        </w:rPr>
        <w:t xml:space="preserve"> is appropriate.</w:t>
      </w:r>
    </w:p>
    <w:p w14:paraId="02EDA909" w14:textId="77777777" w:rsidR="00A94B21" w:rsidRDefault="00A94B21" w:rsidP="00A94B21">
      <w:pPr>
        <w:pBdr>
          <w:bottom w:val="single" w:sz="4" w:space="1" w:color="auto"/>
        </w:pBdr>
        <w:spacing w:before="240" w:after="120"/>
        <w:rPr>
          <w:b/>
          <w:sz w:val="22"/>
          <w:szCs w:val="22"/>
        </w:rPr>
      </w:pPr>
      <w:r>
        <w:rPr>
          <w:b/>
          <w:sz w:val="22"/>
          <w:szCs w:val="22"/>
        </w:rPr>
        <w:t>9. CONCLUSION</w:t>
      </w:r>
    </w:p>
    <w:p w14:paraId="262B86AC" w14:textId="658FAACE" w:rsidR="005A13A3" w:rsidRPr="005A13A3" w:rsidRDefault="00A94B21" w:rsidP="00A94B21">
      <w:pPr>
        <w:tabs>
          <w:tab w:val="left" w:pos="2520"/>
        </w:tabs>
        <w:spacing w:before="120" w:after="120"/>
        <w:rPr>
          <w:rFonts w:cs="Arial"/>
          <w:sz w:val="22"/>
          <w:szCs w:val="22"/>
        </w:rPr>
      </w:pPr>
      <w:r>
        <w:rPr>
          <w:rFonts w:cs="Arial"/>
          <w:sz w:val="22"/>
          <w:szCs w:val="22"/>
        </w:rPr>
        <w:lastRenderedPageBreak/>
        <w:t xml:space="preserve">The planning proposal </w:t>
      </w:r>
      <w:r w:rsidR="00461121">
        <w:rPr>
          <w:rFonts w:cs="Arial"/>
          <w:sz w:val="22"/>
          <w:szCs w:val="22"/>
        </w:rPr>
        <w:t>is</w:t>
      </w:r>
      <w:r>
        <w:rPr>
          <w:rFonts w:cs="Arial"/>
          <w:sz w:val="22"/>
          <w:szCs w:val="22"/>
        </w:rPr>
        <w:t xml:space="preserve"> appropriate to support, subject to community consultation and </w:t>
      </w:r>
      <w:r w:rsidRPr="005A13A3">
        <w:rPr>
          <w:rFonts w:cs="Arial"/>
          <w:sz w:val="22"/>
          <w:szCs w:val="22"/>
        </w:rPr>
        <w:t>additional condition</w:t>
      </w:r>
      <w:r w:rsidR="005A13A3" w:rsidRPr="005A13A3">
        <w:rPr>
          <w:rFonts w:cs="Arial"/>
          <w:sz w:val="22"/>
          <w:szCs w:val="22"/>
        </w:rPr>
        <w:t>s</w:t>
      </w:r>
      <w:r w:rsidRPr="005A13A3">
        <w:rPr>
          <w:rFonts w:cs="Arial"/>
          <w:sz w:val="22"/>
          <w:szCs w:val="22"/>
        </w:rPr>
        <w:t xml:space="preserve"> to</w:t>
      </w:r>
      <w:r w:rsidR="005A13A3" w:rsidRPr="005A13A3">
        <w:rPr>
          <w:rFonts w:cs="Arial"/>
          <w:sz w:val="22"/>
          <w:szCs w:val="22"/>
        </w:rPr>
        <w:t>:</w:t>
      </w:r>
    </w:p>
    <w:p w14:paraId="1D764E19" w14:textId="0ED27F2E" w:rsidR="005A13A3" w:rsidRDefault="005A13A3" w:rsidP="005A13A3">
      <w:pPr>
        <w:pStyle w:val="ListParagraph"/>
        <w:numPr>
          <w:ilvl w:val="0"/>
          <w:numId w:val="13"/>
        </w:numPr>
        <w:tabs>
          <w:tab w:val="left" w:pos="2520"/>
        </w:tabs>
        <w:spacing w:before="120" w:after="120"/>
        <w:rPr>
          <w:rFonts w:ascii="Arial" w:hAnsi="Arial" w:cs="Arial"/>
        </w:rPr>
      </w:pPr>
      <w:r w:rsidRPr="005A13A3">
        <w:rPr>
          <w:rFonts w:ascii="Arial" w:hAnsi="Arial" w:cs="Arial"/>
        </w:rPr>
        <w:t xml:space="preserve">clarify the applicability of clause 4.2A of the </w:t>
      </w:r>
      <w:r w:rsidRPr="005A13A3">
        <w:rPr>
          <w:rFonts w:ascii="Arial" w:hAnsi="Arial" w:cs="Arial"/>
          <w:i/>
          <w:iCs/>
        </w:rPr>
        <w:t xml:space="preserve">Wagga Wagga LEP 2010 </w:t>
      </w:r>
      <w:r w:rsidRPr="005A13A3">
        <w:rPr>
          <w:rFonts w:ascii="Arial" w:hAnsi="Arial" w:cs="Arial"/>
        </w:rPr>
        <w:t xml:space="preserve">in retaining dwelling opportunities in the </w:t>
      </w:r>
      <w:r w:rsidR="00475A5C">
        <w:rPr>
          <w:rFonts w:ascii="Arial" w:hAnsi="Arial" w:cs="Arial"/>
        </w:rPr>
        <w:t>Cartwrights</w:t>
      </w:r>
      <w:r w:rsidRPr="005A13A3">
        <w:rPr>
          <w:rFonts w:ascii="Arial" w:hAnsi="Arial" w:cs="Arial"/>
        </w:rPr>
        <w:t xml:space="preserve"> Hill precinct</w:t>
      </w:r>
      <w:r>
        <w:rPr>
          <w:rFonts w:ascii="Arial" w:hAnsi="Arial" w:cs="Arial"/>
        </w:rPr>
        <w:t>,</w:t>
      </w:r>
      <w:r w:rsidRPr="005A13A3">
        <w:rPr>
          <w:rFonts w:ascii="Arial" w:hAnsi="Arial" w:cs="Arial"/>
        </w:rPr>
        <w:t xml:space="preserve"> and</w:t>
      </w:r>
    </w:p>
    <w:p w14:paraId="727A6275" w14:textId="26D9487F" w:rsidR="00A94B21" w:rsidRPr="005A13A3" w:rsidRDefault="005A13A3" w:rsidP="005A13A3">
      <w:pPr>
        <w:pStyle w:val="ListParagraph"/>
        <w:numPr>
          <w:ilvl w:val="0"/>
          <w:numId w:val="13"/>
        </w:numPr>
        <w:tabs>
          <w:tab w:val="left" w:pos="2520"/>
        </w:tabs>
        <w:spacing w:before="120" w:after="120"/>
        <w:rPr>
          <w:rFonts w:ascii="Arial" w:hAnsi="Arial" w:cs="Arial"/>
        </w:rPr>
      </w:pPr>
      <w:r w:rsidRPr="005A13A3">
        <w:rPr>
          <w:rFonts w:ascii="Arial" w:hAnsi="Arial" w:cs="Arial"/>
        </w:rPr>
        <w:t xml:space="preserve">to </w:t>
      </w:r>
      <w:r w:rsidR="00A94B21" w:rsidRPr="005A13A3">
        <w:rPr>
          <w:rFonts w:ascii="Arial" w:hAnsi="Arial" w:cs="Arial"/>
        </w:rPr>
        <w:t xml:space="preserve">address the unintended consequence of creating a split zoning over a property in </w:t>
      </w:r>
      <w:r w:rsidR="003B738E">
        <w:rPr>
          <w:rFonts w:ascii="Arial" w:hAnsi="Arial" w:cs="Arial"/>
        </w:rPr>
        <w:t>North Wagga Wagga</w:t>
      </w:r>
      <w:r w:rsidR="00A94B21" w:rsidRPr="005A13A3">
        <w:rPr>
          <w:rFonts w:ascii="Arial" w:hAnsi="Arial" w:cs="Arial"/>
        </w:rPr>
        <w:t>.</w:t>
      </w:r>
    </w:p>
    <w:p w14:paraId="5C201871" w14:textId="77777777" w:rsidR="00A94B21" w:rsidRDefault="00A94B21" w:rsidP="00A94B21">
      <w:pPr>
        <w:pBdr>
          <w:bottom w:val="single" w:sz="4" w:space="1" w:color="auto"/>
        </w:pBdr>
        <w:spacing w:before="240" w:after="120"/>
        <w:rPr>
          <w:b/>
          <w:sz w:val="22"/>
          <w:szCs w:val="22"/>
        </w:rPr>
      </w:pPr>
      <w:r>
        <w:rPr>
          <w:b/>
          <w:sz w:val="22"/>
          <w:szCs w:val="22"/>
        </w:rPr>
        <w:t xml:space="preserve">10. RECOMMENDATION </w:t>
      </w:r>
    </w:p>
    <w:p w14:paraId="56569438" w14:textId="77777777" w:rsidR="00A94B21" w:rsidRDefault="00A94B21" w:rsidP="00A94B21">
      <w:pPr>
        <w:tabs>
          <w:tab w:val="left" w:pos="2520"/>
        </w:tabs>
        <w:spacing w:before="120" w:after="120"/>
        <w:rPr>
          <w:sz w:val="22"/>
          <w:szCs w:val="22"/>
        </w:rPr>
      </w:pPr>
      <w:r>
        <w:rPr>
          <w:sz w:val="22"/>
          <w:szCs w:val="22"/>
        </w:rPr>
        <w:t xml:space="preserve">It is recommended that the delegate of the Secretary: </w:t>
      </w:r>
    </w:p>
    <w:p w14:paraId="52811B22" w14:textId="77777777" w:rsidR="00A94B21" w:rsidRDefault="00A94B21" w:rsidP="00A94B21">
      <w:pPr>
        <w:numPr>
          <w:ilvl w:val="0"/>
          <w:numId w:val="7"/>
        </w:numPr>
        <w:spacing w:before="120" w:after="120"/>
        <w:ind w:left="426"/>
        <w:rPr>
          <w:sz w:val="22"/>
          <w:szCs w:val="22"/>
        </w:rPr>
      </w:pPr>
      <w:r>
        <w:rPr>
          <w:sz w:val="22"/>
          <w:szCs w:val="22"/>
          <w:lang w:eastAsia="en-US"/>
        </w:rPr>
        <w:t>agree that the inconsistency with section 9.1 Directions 3.1 Residential Zones is justified.</w:t>
      </w:r>
    </w:p>
    <w:p w14:paraId="3DFACBAE" w14:textId="77777777" w:rsidR="00A94B21" w:rsidRDefault="00A94B21" w:rsidP="00A94B21">
      <w:pPr>
        <w:spacing w:before="120" w:after="120"/>
        <w:rPr>
          <w:rFonts w:cs="Arial"/>
          <w:sz w:val="22"/>
          <w:szCs w:val="22"/>
        </w:rPr>
      </w:pPr>
      <w:r>
        <w:rPr>
          <w:sz w:val="22"/>
          <w:szCs w:val="22"/>
        </w:rPr>
        <w:t>It is recommended that the delegate of the Minister determine that the planning proposal should proceed subject to the following conditions:</w:t>
      </w:r>
    </w:p>
    <w:p w14:paraId="5964B45E" w14:textId="77777777" w:rsidR="00A94B21" w:rsidRDefault="00A94B21" w:rsidP="00A94B21">
      <w:pPr>
        <w:numPr>
          <w:ilvl w:val="0"/>
          <w:numId w:val="8"/>
        </w:numPr>
        <w:spacing w:before="120" w:after="120"/>
        <w:rPr>
          <w:sz w:val="22"/>
          <w:szCs w:val="22"/>
          <w:lang w:eastAsia="en-US"/>
        </w:rPr>
      </w:pPr>
      <w:r>
        <w:rPr>
          <w:sz w:val="22"/>
          <w:szCs w:val="22"/>
          <w:lang w:eastAsia="en-US"/>
        </w:rPr>
        <w:t xml:space="preserve">The planning proposal should be made available for community consultation for a minimum of 28 days. </w:t>
      </w:r>
    </w:p>
    <w:p w14:paraId="0768520B" w14:textId="458CD0AF" w:rsidR="00A94B21" w:rsidRDefault="004A4A6E" w:rsidP="00A94B21">
      <w:pPr>
        <w:numPr>
          <w:ilvl w:val="0"/>
          <w:numId w:val="8"/>
        </w:numPr>
        <w:spacing w:before="120" w:after="120"/>
        <w:rPr>
          <w:sz w:val="22"/>
          <w:szCs w:val="22"/>
          <w:lang w:eastAsia="en-US"/>
        </w:rPr>
      </w:pPr>
      <w:bookmarkStart w:id="5" w:name="_Hlk52181757"/>
      <w:r>
        <w:rPr>
          <w:rFonts w:cs="Arial"/>
          <w:sz w:val="22"/>
          <w:szCs w:val="22"/>
        </w:rPr>
        <w:t>Council is to notify all landowners impacted by the change of zoning and minimum lots size changes in the planning proposal</w:t>
      </w:r>
      <w:r w:rsidR="00A94B21">
        <w:rPr>
          <w:sz w:val="22"/>
          <w:szCs w:val="22"/>
          <w:lang w:eastAsia="en-US"/>
        </w:rPr>
        <w:t xml:space="preserve">. </w:t>
      </w:r>
    </w:p>
    <w:bookmarkEnd w:id="5"/>
    <w:p w14:paraId="482025F2" w14:textId="179B3FDF" w:rsidR="00A94B21" w:rsidRDefault="00A94B21" w:rsidP="00A94B21">
      <w:pPr>
        <w:numPr>
          <w:ilvl w:val="0"/>
          <w:numId w:val="8"/>
        </w:numPr>
        <w:spacing w:before="120" w:after="120"/>
        <w:rPr>
          <w:sz w:val="22"/>
          <w:szCs w:val="22"/>
          <w:lang w:eastAsia="en-US"/>
        </w:rPr>
      </w:pPr>
      <w:r>
        <w:rPr>
          <w:sz w:val="22"/>
          <w:szCs w:val="22"/>
          <w:lang w:eastAsia="en-US"/>
        </w:rPr>
        <w:t xml:space="preserve">The time frame for completing the LEP is to be </w:t>
      </w:r>
      <w:r w:rsidR="00335C31">
        <w:rPr>
          <w:sz w:val="22"/>
          <w:szCs w:val="22"/>
          <w:lang w:eastAsia="en-US"/>
        </w:rPr>
        <w:t>6</w:t>
      </w:r>
      <w:r>
        <w:rPr>
          <w:sz w:val="22"/>
          <w:szCs w:val="22"/>
          <w:lang w:eastAsia="en-US"/>
        </w:rPr>
        <w:t xml:space="preserve"> months from the date of the Gateway determination. </w:t>
      </w:r>
    </w:p>
    <w:p w14:paraId="145C865D" w14:textId="77777777" w:rsidR="00A94B21" w:rsidRDefault="00A94B21" w:rsidP="00A94B21">
      <w:pPr>
        <w:numPr>
          <w:ilvl w:val="0"/>
          <w:numId w:val="8"/>
        </w:numPr>
        <w:spacing w:before="120" w:after="120"/>
        <w:rPr>
          <w:sz w:val="22"/>
          <w:szCs w:val="22"/>
          <w:lang w:eastAsia="en-US"/>
        </w:rPr>
      </w:pPr>
      <w:r>
        <w:rPr>
          <w:sz w:val="22"/>
          <w:szCs w:val="22"/>
          <w:lang w:eastAsia="en-US"/>
        </w:rPr>
        <w:t>Given the nature of the planning proposal, Council should be the local plan-making authority.</w:t>
      </w:r>
    </w:p>
    <w:p w14:paraId="1DC37835" w14:textId="3C65C9A6" w:rsidR="005A13A3" w:rsidRDefault="005A13A3" w:rsidP="004A4A6E">
      <w:pPr>
        <w:numPr>
          <w:ilvl w:val="0"/>
          <w:numId w:val="10"/>
        </w:numPr>
        <w:spacing w:before="120" w:after="120"/>
        <w:rPr>
          <w:rFonts w:cs="Arial"/>
          <w:sz w:val="22"/>
          <w:szCs w:val="22"/>
        </w:rPr>
      </w:pPr>
      <w:r>
        <w:rPr>
          <w:rFonts w:cs="Arial"/>
          <w:sz w:val="22"/>
          <w:szCs w:val="22"/>
        </w:rPr>
        <w:t xml:space="preserve">The planning proposal </w:t>
      </w:r>
      <w:r w:rsidRPr="004A4A6E">
        <w:rPr>
          <w:rFonts w:cs="Arial"/>
          <w:sz w:val="22"/>
          <w:szCs w:val="22"/>
        </w:rPr>
        <w:t xml:space="preserve">is to be amended prior to community consultation </w:t>
      </w:r>
      <w:r>
        <w:rPr>
          <w:rFonts w:cs="Arial"/>
          <w:sz w:val="22"/>
          <w:szCs w:val="22"/>
        </w:rPr>
        <w:t xml:space="preserve">to reflect the applicability of clause 4.2A allowing the continuation of dwelling opportunities on some lots in the </w:t>
      </w:r>
      <w:r w:rsidR="00475A5C">
        <w:rPr>
          <w:rFonts w:cs="Arial"/>
          <w:sz w:val="22"/>
          <w:szCs w:val="22"/>
        </w:rPr>
        <w:t>Cartwrights</w:t>
      </w:r>
      <w:r>
        <w:rPr>
          <w:rFonts w:cs="Arial"/>
          <w:sz w:val="22"/>
          <w:szCs w:val="22"/>
        </w:rPr>
        <w:t xml:space="preserve"> Hill precinct.</w:t>
      </w:r>
    </w:p>
    <w:p w14:paraId="3C9B6245" w14:textId="13A94296" w:rsidR="00A94B21" w:rsidRPr="004A4A6E" w:rsidRDefault="004A4A6E" w:rsidP="004A4A6E">
      <w:pPr>
        <w:numPr>
          <w:ilvl w:val="0"/>
          <w:numId w:val="10"/>
        </w:numPr>
        <w:spacing w:before="120" w:after="120"/>
        <w:rPr>
          <w:rFonts w:cs="Arial"/>
          <w:sz w:val="22"/>
          <w:szCs w:val="22"/>
        </w:rPr>
      </w:pPr>
      <w:r w:rsidRPr="004A4A6E">
        <w:rPr>
          <w:rFonts w:cs="Arial"/>
          <w:sz w:val="22"/>
          <w:szCs w:val="22"/>
        </w:rPr>
        <w:t xml:space="preserve">The planning proposal is to be amended prior to community consultation to </w:t>
      </w:r>
      <w:r w:rsidR="005A13A3">
        <w:rPr>
          <w:rFonts w:cs="Arial"/>
          <w:sz w:val="22"/>
          <w:szCs w:val="22"/>
        </w:rPr>
        <w:t xml:space="preserve">apply </w:t>
      </w:r>
      <w:r w:rsidR="005A13A3" w:rsidRPr="004A4A6E">
        <w:rPr>
          <w:rFonts w:cs="Arial"/>
          <w:sz w:val="22"/>
          <w:szCs w:val="22"/>
        </w:rPr>
        <w:t xml:space="preserve">a minimum lot size of 4ha </w:t>
      </w:r>
      <w:r w:rsidR="005A13A3">
        <w:rPr>
          <w:rFonts w:cs="Arial"/>
          <w:sz w:val="22"/>
          <w:szCs w:val="22"/>
        </w:rPr>
        <w:t>(</w:t>
      </w:r>
      <w:r w:rsidR="005A13A3" w:rsidRPr="004A4A6E">
        <w:rPr>
          <w:rFonts w:cs="Arial"/>
          <w:sz w:val="22"/>
          <w:szCs w:val="22"/>
        </w:rPr>
        <w:t>rather than the proposed 200ha</w:t>
      </w:r>
      <w:r w:rsidR="005A13A3">
        <w:rPr>
          <w:rFonts w:cs="Arial"/>
          <w:sz w:val="22"/>
          <w:szCs w:val="22"/>
        </w:rPr>
        <w:t>)</w:t>
      </w:r>
      <w:r w:rsidR="005A13A3" w:rsidRPr="004A4A6E">
        <w:rPr>
          <w:rFonts w:cs="Arial"/>
          <w:sz w:val="22"/>
          <w:szCs w:val="22"/>
        </w:rPr>
        <w:t xml:space="preserve"> </w:t>
      </w:r>
      <w:r w:rsidR="005A13A3">
        <w:rPr>
          <w:rFonts w:cs="Arial"/>
          <w:sz w:val="22"/>
          <w:szCs w:val="22"/>
        </w:rPr>
        <w:t xml:space="preserve">to </w:t>
      </w:r>
      <w:r w:rsidRPr="004A4A6E">
        <w:rPr>
          <w:rFonts w:cs="Arial"/>
          <w:sz w:val="22"/>
          <w:szCs w:val="22"/>
        </w:rPr>
        <w:t xml:space="preserve">the part of Lot 101 DP1095889 within the </w:t>
      </w:r>
      <w:r w:rsidR="005A13A3">
        <w:rPr>
          <w:rFonts w:cs="Arial"/>
          <w:sz w:val="22"/>
          <w:szCs w:val="22"/>
        </w:rPr>
        <w:t xml:space="preserve">subject land in the </w:t>
      </w:r>
      <w:r w:rsidR="003B738E">
        <w:rPr>
          <w:rFonts w:cs="Arial"/>
          <w:sz w:val="22"/>
          <w:szCs w:val="22"/>
        </w:rPr>
        <w:t>North Wagga Wagga p</w:t>
      </w:r>
      <w:r w:rsidR="005A13A3">
        <w:rPr>
          <w:rFonts w:cs="Arial"/>
          <w:sz w:val="22"/>
          <w:szCs w:val="22"/>
        </w:rPr>
        <w:t>recinct</w:t>
      </w:r>
      <w:r w:rsidR="00A94B21" w:rsidRPr="004A4A6E">
        <w:rPr>
          <w:rFonts w:cs="Arial"/>
          <w:sz w:val="22"/>
          <w:szCs w:val="22"/>
        </w:rPr>
        <w:t>.</w:t>
      </w:r>
    </w:p>
    <w:p w14:paraId="0B52942A" w14:textId="20E0ACA9" w:rsidR="00A94B21" w:rsidRDefault="009527F7" w:rsidP="00A94B21">
      <w:pPr>
        <w:tabs>
          <w:tab w:val="left" w:pos="1080"/>
          <w:tab w:val="left" w:pos="5220"/>
        </w:tabs>
        <w:rPr>
          <w:rFonts w:cs="Arial"/>
          <w:b/>
          <w:sz w:val="22"/>
          <w:szCs w:val="22"/>
        </w:rPr>
      </w:pPr>
      <w:r>
        <w:rPr>
          <w:rFonts w:cs="Arial"/>
          <w:b/>
          <w:noProof/>
          <w:sz w:val="22"/>
          <w:szCs w:val="22"/>
        </w:rPr>
        <w:drawing>
          <wp:inline distT="0" distB="0" distL="0" distR="0" wp14:anchorId="54F2D406" wp14:editId="02BCD269">
            <wp:extent cx="1383527" cy="566379"/>
            <wp:effectExtent l="0" t="0" r="7620" b="571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6889" cy="580036"/>
                    </a:xfrm>
                    <a:prstGeom prst="rect">
                      <a:avLst/>
                    </a:prstGeom>
                  </pic:spPr>
                </pic:pic>
              </a:graphicData>
            </a:graphic>
          </wp:inline>
        </w:drawing>
      </w:r>
      <w:r w:rsidR="00A94B21">
        <w:rPr>
          <w:rFonts w:cs="Arial"/>
          <w:b/>
          <w:sz w:val="22"/>
          <w:szCs w:val="22"/>
        </w:rPr>
        <w:tab/>
      </w:r>
      <w:r w:rsidR="00A94B21">
        <w:rPr>
          <w:rFonts w:cs="Arial"/>
          <w:b/>
          <w:sz w:val="22"/>
          <w:szCs w:val="22"/>
        </w:rPr>
        <w:tab/>
      </w:r>
      <w:r w:rsidR="00A94B21">
        <w:rPr>
          <w:rFonts w:cs="Arial"/>
          <w:b/>
          <w:sz w:val="22"/>
          <w:szCs w:val="22"/>
        </w:rPr>
        <w:tab/>
      </w:r>
      <w:r w:rsidR="00A94B21">
        <w:rPr>
          <w:rFonts w:cs="Arial"/>
          <w:b/>
          <w:sz w:val="22"/>
          <w:szCs w:val="22"/>
        </w:rPr>
        <w:tab/>
      </w:r>
    </w:p>
    <w:p w14:paraId="0839CADB" w14:textId="77777777" w:rsidR="00A94B21" w:rsidRDefault="00A94B21" w:rsidP="00A94B21">
      <w:pPr>
        <w:tabs>
          <w:tab w:val="left" w:pos="5529"/>
        </w:tabs>
        <w:rPr>
          <w:b/>
          <w:sz w:val="22"/>
          <w:szCs w:val="22"/>
        </w:rPr>
      </w:pPr>
      <w:r>
        <w:rPr>
          <w:b/>
          <w:sz w:val="22"/>
          <w:szCs w:val="22"/>
        </w:rPr>
        <w:t>Haydon Murdoch</w:t>
      </w:r>
      <w:r>
        <w:rPr>
          <w:b/>
          <w:sz w:val="22"/>
          <w:szCs w:val="22"/>
        </w:rPr>
        <w:tab/>
        <w:t>Garry Hopkins</w:t>
      </w:r>
    </w:p>
    <w:p w14:paraId="2C27DA73" w14:textId="77777777" w:rsidR="00A94B21" w:rsidRDefault="00A94B21" w:rsidP="00A94B21">
      <w:pPr>
        <w:tabs>
          <w:tab w:val="left" w:pos="5529"/>
          <w:tab w:val="left" w:pos="5940"/>
        </w:tabs>
        <w:rPr>
          <w:b/>
          <w:sz w:val="22"/>
          <w:szCs w:val="22"/>
        </w:rPr>
      </w:pPr>
      <w:r>
        <w:rPr>
          <w:b/>
          <w:sz w:val="22"/>
          <w:szCs w:val="22"/>
        </w:rPr>
        <w:t>Team Leader, Western Region</w:t>
      </w:r>
      <w:r>
        <w:rPr>
          <w:b/>
          <w:sz w:val="22"/>
          <w:szCs w:val="22"/>
        </w:rPr>
        <w:tab/>
        <w:t xml:space="preserve">Director, Western Region </w:t>
      </w:r>
    </w:p>
    <w:p w14:paraId="0FF42BAC" w14:textId="77777777" w:rsidR="00A94B21" w:rsidRDefault="00A94B21" w:rsidP="00A94B21">
      <w:pPr>
        <w:tabs>
          <w:tab w:val="left" w:pos="5529"/>
          <w:tab w:val="left" w:pos="5940"/>
        </w:tabs>
        <w:rPr>
          <w:b/>
          <w:sz w:val="22"/>
          <w:szCs w:val="22"/>
        </w:rPr>
      </w:pPr>
      <w:r>
        <w:rPr>
          <w:b/>
          <w:sz w:val="22"/>
          <w:szCs w:val="22"/>
        </w:rPr>
        <w:tab/>
        <w:t>Local and Regional Planning</w:t>
      </w:r>
    </w:p>
    <w:p w14:paraId="253C1A50" w14:textId="77777777" w:rsidR="00A94B21" w:rsidRDefault="00A94B21" w:rsidP="00A94B21">
      <w:pPr>
        <w:jc w:val="right"/>
        <w:rPr>
          <w:rFonts w:cs="Arial"/>
          <w:sz w:val="22"/>
          <w:szCs w:val="22"/>
        </w:rPr>
      </w:pPr>
    </w:p>
    <w:p w14:paraId="1EEF360E" w14:textId="77777777" w:rsidR="00A94B21" w:rsidRDefault="00A94B21" w:rsidP="00A94B21">
      <w:pPr>
        <w:jc w:val="right"/>
        <w:rPr>
          <w:rFonts w:cs="Arial"/>
          <w:sz w:val="22"/>
          <w:szCs w:val="22"/>
        </w:rPr>
      </w:pPr>
      <w:r>
        <w:rPr>
          <w:rFonts w:cs="Arial"/>
          <w:sz w:val="22"/>
          <w:szCs w:val="22"/>
        </w:rPr>
        <w:t>Assessment officer: Meredith McIntyre</w:t>
      </w:r>
    </w:p>
    <w:p w14:paraId="59F98C0E" w14:textId="77777777" w:rsidR="00A94B21" w:rsidRDefault="00A94B21" w:rsidP="00A94B21">
      <w:pPr>
        <w:jc w:val="right"/>
        <w:rPr>
          <w:rFonts w:cs="Arial"/>
          <w:sz w:val="22"/>
          <w:szCs w:val="22"/>
        </w:rPr>
      </w:pPr>
      <w:r>
        <w:rPr>
          <w:rFonts w:cs="Arial"/>
          <w:sz w:val="22"/>
          <w:szCs w:val="22"/>
        </w:rPr>
        <w:t>Senior Planner, Western Region</w:t>
      </w:r>
    </w:p>
    <w:p w14:paraId="6DC4A45F" w14:textId="11240E42" w:rsidR="00787A61" w:rsidRPr="00461121" w:rsidRDefault="00A94B21" w:rsidP="00461121">
      <w:pPr>
        <w:jc w:val="right"/>
        <w:rPr>
          <w:sz w:val="22"/>
          <w:szCs w:val="22"/>
        </w:rPr>
      </w:pPr>
      <w:r>
        <w:rPr>
          <w:sz w:val="22"/>
          <w:szCs w:val="22"/>
        </w:rPr>
        <w:t>Phone: 6229 7912</w:t>
      </w:r>
    </w:p>
    <w:sectPr w:rsidR="00787A61" w:rsidRPr="00461121" w:rsidSect="00F578C6">
      <w:footerReference w:type="default" r:id="rId21"/>
      <w:headerReference w:type="first" r:id="rId22"/>
      <w:footerReference w:type="first" r:id="rId23"/>
      <w:type w:val="continuous"/>
      <w:pgSz w:w="11906" w:h="16838"/>
      <w:pgMar w:top="993" w:right="1440" w:bottom="113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4A8C0" w14:textId="77777777" w:rsidR="00945133" w:rsidRDefault="00945133">
      <w:r>
        <w:separator/>
      </w:r>
    </w:p>
  </w:endnote>
  <w:endnote w:type="continuationSeparator" w:id="0">
    <w:p w14:paraId="3A94218E" w14:textId="77777777" w:rsidR="00945133" w:rsidRDefault="0094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9335E" w14:textId="77777777" w:rsidR="00701301" w:rsidRPr="00F913C6" w:rsidRDefault="00701301"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4B4ED6">
      <w:rPr>
        <w:rStyle w:val="PageNumber"/>
        <w:b/>
        <w:noProof/>
        <w:color w:val="002060"/>
      </w:rPr>
      <w:t>4</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4B4ED6">
      <w:rPr>
        <w:rStyle w:val="PageNumber"/>
        <w:b/>
        <w:noProof/>
        <w:color w:val="002060"/>
      </w:rPr>
      <w:t>4</w:t>
    </w:r>
    <w:r w:rsidRPr="00F913C6">
      <w:rPr>
        <w:rStyle w:val="PageNumber"/>
        <w:b/>
        <w:color w:val="002060"/>
      </w:rPr>
      <w:fldChar w:fldCharType="end"/>
    </w:r>
  </w:p>
  <w:p w14:paraId="597468FA" w14:textId="77777777" w:rsidR="00701301" w:rsidRPr="00F913C6" w:rsidRDefault="00701301" w:rsidP="00C516E7">
    <w:pPr>
      <w:pStyle w:val="Footer"/>
      <w:ind w:right="360"/>
      <w:rPr>
        <w:b/>
        <w:color w:val="00206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8DA13" w14:textId="77777777" w:rsidR="00A15C06" w:rsidRPr="00F913C6" w:rsidRDefault="00A15C06"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4B4ED6">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4B4ED6">
      <w:rPr>
        <w:rStyle w:val="PageNumber"/>
        <w:b/>
        <w:noProof/>
        <w:color w:val="002060"/>
      </w:rPr>
      <w:t>4</w:t>
    </w:r>
    <w:r w:rsidRPr="00F913C6">
      <w:rPr>
        <w:rStyle w:val="PageNumber"/>
        <w:b/>
        <w:color w:val="002060"/>
      </w:rPr>
      <w:fldChar w:fldCharType="end"/>
    </w:r>
  </w:p>
  <w:p w14:paraId="5042B2B0" w14:textId="77777777" w:rsidR="00A15C06" w:rsidRDefault="00A15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E26BB" w14:textId="77777777" w:rsidR="00945133" w:rsidRDefault="00945133">
      <w:r>
        <w:separator/>
      </w:r>
    </w:p>
  </w:footnote>
  <w:footnote w:type="continuationSeparator" w:id="0">
    <w:p w14:paraId="027705BD" w14:textId="77777777" w:rsidR="00945133" w:rsidRDefault="00945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82325" w14:textId="091960A8" w:rsidR="00E336CD" w:rsidRDefault="00E336CD">
    <w:pPr>
      <w:pStyle w:val="Header"/>
    </w:pPr>
  </w:p>
  <w:p w14:paraId="4EECE81C" w14:textId="2ACC7A35" w:rsidR="00E336CD" w:rsidRDefault="00E336CD">
    <w:pPr>
      <w:pStyle w:val="Header"/>
    </w:pPr>
  </w:p>
  <w:p w14:paraId="0178FEC0" w14:textId="77777777" w:rsidR="00E336CD" w:rsidRDefault="00E336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FD1F1" w14:textId="17B15493" w:rsidR="00AA72C5" w:rsidRDefault="00AA72C5">
    <w:pPr>
      <w:pStyle w:val="Header"/>
    </w:pPr>
    <w:r>
      <w:rPr>
        <w:noProof/>
      </w:rPr>
      <w:drawing>
        <wp:inline distT="0" distB="0" distL="0" distR="0" wp14:anchorId="15A1C76A" wp14:editId="7A6BE15B">
          <wp:extent cx="2599200" cy="864000"/>
          <wp:effectExtent l="0" t="0" r="0" b="0"/>
          <wp:docPr id="13" name="Picture 13"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9200" cy="864000"/>
                  </a:xfrm>
                  <a:prstGeom prst="rect">
                    <a:avLst/>
                  </a:prstGeom>
                  <a:noFill/>
                  <a:ln>
                    <a:noFill/>
                  </a:ln>
                </pic:spPr>
              </pic:pic>
            </a:graphicData>
          </a:graphic>
        </wp:inline>
      </w:drawing>
    </w:r>
  </w:p>
  <w:p w14:paraId="09065044" w14:textId="681D58FE" w:rsidR="00AA72C5" w:rsidRDefault="00AA72C5">
    <w:pPr>
      <w:pStyle w:val="Header"/>
    </w:pPr>
  </w:p>
  <w:p w14:paraId="48EC0999" w14:textId="77777777" w:rsidR="00AA72C5" w:rsidRDefault="00AA72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268F7" w14:textId="77777777" w:rsidR="00A15C06" w:rsidRPr="00426308" w:rsidRDefault="00AD2201" w:rsidP="00AD2201">
    <w:pPr>
      <w:pStyle w:val="Header"/>
      <w:ind w:left="-142"/>
      <w:rPr>
        <w:noProof/>
      </w:rPr>
    </w:pPr>
    <w:r>
      <w:rPr>
        <w:noProof/>
      </w:rPr>
      <w:drawing>
        <wp:inline distT="0" distB="0" distL="0" distR="0" wp14:anchorId="7FA8DBDC" wp14:editId="0C078554">
          <wp:extent cx="2599200" cy="864000"/>
          <wp:effectExtent l="0" t="0" r="0" b="0"/>
          <wp:docPr id="11" name="Picture 11"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9200" cy="864000"/>
                  </a:xfrm>
                  <a:prstGeom prst="rect">
                    <a:avLst/>
                  </a:prstGeom>
                  <a:noFill/>
                  <a:ln>
                    <a:noFill/>
                  </a:ln>
                </pic:spPr>
              </pic:pic>
            </a:graphicData>
          </a:graphic>
        </wp:inline>
      </w:drawing>
    </w:r>
  </w:p>
  <w:p w14:paraId="1831A0A1" w14:textId="77777777" w:rsidR="00A15C06" w:rsidRDefault="00A15C06" w:rsidP="00A15C06">
    <w:pPr>
      <w:pStyle w:val="Header"/>
    </w:pPr>
  </w:p>
  <w:p w14:paraId="42EBEC3F" w14:textId="77777777" w:rsidR="00A15C06" w:rsidRDefault="00A15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900"/>
    <w:multiLevelType w:val="hybridMultilevel"/>
    <w:tmpl w:val="EB78F676"/>
    <w:lvl w:ilvl="0" w:tplc="8B6E91B4">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2BDF549D"/>
    <w:multiLevelType w:val="hybridMultilevel"/>
    <w:tmpl w:val="A1B2A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942D00"/>
    <w:multiLevelType w:val="hybridMultilevel"/>
    <w:tmpl w:val="423C7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DE4141F"/>
    <w:multiLevelType w:val="hybridMultilevel"/>
    <w:tmpl w:val="733ADCF0"/>
    <w:lvl w:ilvl="0" w:tplc="0C090001">
      <w:start w:val="1"/>
      <w:numFmt w:val="bullet"/>
      <w:lvlText w:val=""/>
      <w:lvlJc w:val="left"/>
      <w:pPr>
        <w:ind w:left="720" w:hanging="360"/>
      </w:pPr>
      <w:rPr>
        <w:rFonts w:ascii="Symbol" w:hAnsi="Symbol" w:hint="default"/>
      </w:rPr>
    </w:lvl>
    <w:lvl w:ilvl="1" w:tplc="83C6B53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0310B3F"/>
    <w:multiLevelType w:val="hybridMultilevel"/>
    <w:tmpl w:val="DD56CF92"/>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6" w15:restartNumberingAfterBreak="0">
    <w:nsid w:val="60D91CF9"/>
    <w:multiLevelType w:val="hybridMultilevel"/>
    <w:tmpl w:val="7A42B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B46D03"/>
    <w:multiLevelType w:val="hybridMultilevel"/>
    <w:tmpl w:val="B768A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D944B9"/>
    <w:multiLevelType w:val="hybridMultilevel"/>
    <w:tmpl w:val="5C70872E"/>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9" w15:restartNumberingAfterBreak="0">
    <w:nsid w:val="78B747EE"/>
    <w:multiLevelType w:val="hybridMultilevel"/>
    <w:tmpl w:val="52EA4A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7AA268A9"/>
    <w:multiLevelType w:val="hybridMultilevel"/>
    <w:tmpl w:val="E012B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9"/>
  </w:num>
  <w:num w:numId="5">
    <w:abstractNumId w:val="6"/>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3"/>
  </w:num>
  <w:num w:numId="12">
    <w:abstractNumId w:val="8"/>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3MDQyMjQyNjExNjdR0lEKTi0uzszPAykwrAUAqvD3WCwAAAA="/>
  </w:docVars>
  <w:rsids>
    <w:rsidRoot w:val="005A025C"/>
    <w:rsid w:val="000046B3"/>
    <w:rsid w:val="00004913"/>
    <w:rsid w:val="00004931"/>
    <w:rsid w:val="00011515"/>
    <w:rsid w:val="00011DFD"/>
    <w:rsid w:val="000126D9"/>
    <w:rsid w:val="00012D18"/>
    <w:rsid w:val="00016361"/>
    <w:rsid w:val="00016583"/>
    <w:rsid w:val="00022014"/>
    <w:rsid w:val="0002378F"/>
    <w:rsid w:val="00025772"/>
    <w:rsid w:val="0002583D"/>
    <w:rsid w:val="00026568"/>
    <w:rsid w:val="000308E0"/>
    <w:rsid w:val="00031A9B"/>
    <w:rsid w:val="00037285"/>
    <w:rsid w:val="000405F5"/>
    <w:rsid w:val="000423AC"/>
    <w:rsid w:val="00042BEA"/>
    <w:rsid w:val="00053442"/>
    <w:rsid w:val="00053EC3"/>
    <w:rsid w:val="00056BC0"/>
    <w:rsid w:val="0006254D"/>
    <w:rsid w:val="0006466A"/>
    <w:rsid w:val="000646E4"/>
    <w:rsid w:val="00064B57"/>
    <w:rsid w:val="00067536"/>
    <w:rsid w:val="00067C05"/>
    <w:rsid w:val="000701E4"/>
    <w:rsid w:val="00071FDF"/>
    <w:rsid w:val="00073E2E"/>
    <w:rsid w:val="00075A61"/>
    <w:rsid w:val="0007606B"/>
    <w:rsid w:val="000800B1"/>
    <w:rsid w:val="0008151B"/>
    <w:rsid w:val="000847BD"/>
    <w:rsid w:val="0008746C"/>
    <w:rsid w:val="00090084"/>
    <w:rsid w:val="00092344"/>
    <w:rsid w:val="000A096E"/>
    <w:rsid w:val="000A40BC"/>
    <w:rsid w:val="000A5846"/>
    <w:rsid w:val="000A7B86"/>
    <w:rsid w:val="000A7F6B"/>
    <w:rsid w:val="000B00E3"/>
    <w:rsid w:val="000B12CF"/>
    <w:rsid w:val="000B33BC"/>
    <w:rsid w:val="000B4F9F"/>
    <w:rsid w:val="000B538E"/>
    <w:rsid w:val="000B750F"/>
    <w:rsid w:val="000C09FF"/>
    <w:rsid w:val="000C25FF"/>
    <w:rsid w:val="000C5627"/>
    <w:rsid w:val="000C7B66"/>
    <w:rsid w:val="000D0732"/>
    <w:rsid w:val="000D2C40"/>
    <w:rsid w:val="000D2C48"/>
    <w:rsid w:val="000D33F0"/>
    <w:rsid w:val="000D3C86"/>
    <w:rsid w:val="000D5366"/>
    <w:rsid w:val="000D6061"/>
    <w:rsid w:val="000E04CD"/>
    <w:rsid w:val="000E1D3A"/>
    <w:rsid w:val="000E1EAC"/>
    <w:rsid w:val="000E3123"/>
    <w:rsid w:val="000E5240"/>
    <w:rsid w:val="000E719D"/>
    <w:rsid w:val="000E77AD"/>
    <w:rsid w:val="000F07AC"/>
    <w:rsid w:val="000F23B2"/>
    <w:rsid w:val="000F572F"/>
    <w:rsid w:val="000F5F63"/>
    <w:rsid w:val="00100A15"/>
    <w:rsid w:val="001017B2"/>
    <w:rsid w:val="00102E0B"/>
    <w:rsid w:val="00121D36"/>
    <w:rsid w:val="00122BF6"/>
    <w:rsid w:val="00132CEF"/>
    <w:rsid w:val="00133BA5"/>
    <w:rsid w:val="001348AA"/>
    <w:rsid w:val="001366B5"/>
    <w:rsid w:val="00137236"/>
    <w:rsid w:val="00140FFB"/>
    <w:rsid w:val="001415B1"/>
    <w:rsid w:val="001436AE"/>
    <w:rsid w:val="001462C8"/>
    <w:rsid w:val="00151671"/>
    <w:rsid w:val="00153A79"/>
    <w:rsid w:val="0015648F"/>
    <w:rsid w:val="0015698D"/>
    <w:rsid w:val="00160215"/>
    <w:rsid w:val="00160D5D"/>
    <w:rsid w:val="00163422"/>
    <w:rsid w:val="00163E01"/>
    <w:rsid w:val="00164584"/>
    <w:rsid w:val="00170378"/>
    <w:rsid w:val="00172C44"/>
    <w:rsid w:val="00173190"/>
    <w:rsid w:val="0017524A"/>
    <w:rsid w:val="0017565D"/>
    <w:rsid w:val="00176539"/>
    <w:rsid w:val="00180273"/>
    <w:rsid w:val="001804D7"/>
    <w:rsid w:val="00180A17"/>
    <w:rsid w:val="001835AB"/>
    <w:rsid w:val="001847F8"/>
    <w:rsid w:val="00185346"/>
    <w:rsid w:val="0018591C"/>
    <w:rsid w:val="00186FF4"/>
    <w:rsid w:val="0018735D"/>
    <w:rsid w:val="001927DC"/>
    <w:rsid w:val="00193477"/>
    <w:rsid w:val="00194E14"/>
    <w:rsid w:val="0019530E"/>
    <w:rsid w:val="001A035A"/>
    <w:rsid w:val="001B31D5"/>
    <w:rsid w:val="001B4B89"/>
    <w:rsid w:val="001B55EE"/>
    <w:rsid w:val="001B72CD"/>
    <w:rsid w:val="001C021B"/>
    <w:rsid w:val="001C129A"/>
    <w:rsid w:val="001C21A2"/>
    <w:rsid w:val="001C2C44"/>
    <w:rsid w:val="001C2FC7"/>
    <w:rsid w:val="001C3351"/>
    <w:rsid w:val="001C5450"/>
    <w:rsid w:val="001C6EB8"/>
    <w:rsid w:val="001C7564"/>
    <w:rsid w:val="001D034F"/>
    <w:rsid w:val="001D1590"/>
    <w:rsid w:val="001D2651"/>
    <w:rsid w:val="001D3545"/>
    <w:rsid w:val="001D3E9B"/>
    <w:rsid w:val="001D433D"/>
    <w:rsid w:val="001D5360"/>
    <w:rsid w:val="001D64DD"/>
    <w:rsid w:val="001D7BEA"/>
    <w:rsid w:val="001E0CE0"/>
    <w:rsid w:val="001E2479"/>
    <w:rsid w:val="001E24DE"/>
    <w:rsid w:val="001E51AC"/>
    <w:rsid w:val="001F33E6"/>
    <w:rsid w:val="001F3A9C"/>
    <w:rsid w:val="00200775"/>
    <w:rsid w:val="002015EA"/>
    <w:rsid w:val="002019C2"/>
    <w:rsid w:val="0020229B"/>
    <w:rsid w:val="00202855"/>
    <w:rsid w:val="00203C93"/>
    <w:rsid w:val="00203ECA"/>
    <w:rsid w:val="00210D6E"/>
    <w:rsid w:val="00211ECC"/>
    <w:rsid w:val="00212015"/>
    <w:rsid w:val="002136DB"/>
    <w:rsid w:val="00213ED2"/>
    <w:rsid w:val="0021506B"/>
    <w:rsid w:val="00220FA4"/>
    <w:rsid w:val="00221D0D"/>
    <w:rsid w:val="002234C1"/>
    <w:rsid w:val="00223A72"/>
    <w:rsid w:val="00224138"/>
    <w:rsid w:val="00225266"/>
    <w:rsid w:val="0022597A"/>
    <w:rsid w:val="00226E19"/>
    <w:rsid w:val="00231017"/>
    <w:rsid w:val="002310A6"/>
    <w:rsid w:val="00235281"/>
    <w:rsid w:val="0024053E"/>
    <w:rsid w:val="00241CA5"/>
    <w:rsid w:val="00242584"/>
    <w:rsid w:val="002425C5"/>
    <w:rsid w:val="00243DD2"/>
    <w:rsid w:val="00243E4F"/>
    <w:rsid w:val="00251AC9"/>
    <w:rsid w:val="00253B62"/>
    <w:rsid w:val="00253EFC"/>
    <w:rsid w:val="002547C1"/>
    <w:rsid w:val="0025510B"/>
    <w:rsid w:val="00255404"/>
    <w:rsid w:val="00257865"/>
    <w:rsid w:val="0026008B"/>
    <w:rsid w:val="002600BA"/>
    <w:rsid w:val="00260300"/>
    <w:rsid w:val="002617AC"/>
    <w:rsid w:val="00263AA6"/>
    <w:rsid w:val="002651FE"/>
    <w:rsid w:val="00266397"/>
    <w:rsid w:val="002668AB"/>
    <w:rsid w:val="00266D28"/>
    <w:rsid w:val="00270432"/>
    <w:rsid w:val="00270EAC"/>
    <w:rsid w:val="00271B78"/>
    <w:rsid w:val="00273EF9"/>
    <w:rsid w:val="00275C71"/>
    <w:rsid w:val="00280BD4"/>
    <w:rsid w:val="002823C0"/>
    <w:rsid w:val="00284D5E"/>
    <w:rsid w:val="00286976"/>
    <w:rsid w:val="00287680"/>
    <w:rsid w:val="00287963"/>
    <w:rsid w:val="00287B7D"/>
    <w:rsid w:val="0029074A"/>
    <w:rsid w:val="00293EE2"/>
    <w:rsid w:val="00296627"/>
    <w:rsid w:val="002A01EE"/>
    <w:rsid w:val="002A5E3A"/>
    <w:rsid w:val="002A61EB"/>
    <w:rsid w:val="002A7C4B"/>
    <w:rsid w:val="002B2436"/>
    <w:rsid w:val="002B5091"/>
    <w:rsid w:val="002B7DDC"/>
    <w:rsid w:val="002C779B"/>
    <w:rsid w:val="002C7823"/>
    <w:rsid w:val="002D2E67"/>
    <w:rsid w:val="002D7005"/>
    <w:rsid w:val="002E0E07"/>
    <w:rsid w:val="002E3009"/>
    <w:rsid w:val="002E776F"/>
    <w:rsid w:val="002F0B8A"/>
    <w:rsid w:val="002F19C7"/>
    <w:rsid w:val="002F6451"/>
    <w:rsid w:val="002F6560"/>
    <w:rsid w:val="002F7A18"/>
    <w:rsid w:val="003007BF"/>
    <w:rsid w:val="00301392"/>
    <w:rsid w:val="003028FE"/>
    <w:rsid w:val="00302D02"/>
    <w:rsid w:val="00303C57"/>
    <w:rsid w:val="00304F5C"/>
    <w:rsid w:val="003050D7"/>
    <w:rsid w:val="0031071D"/>
    <w:rsid w:val="00313F4D"/>
    <w:rsid w:val="0031787F"/>
    <w:rsid w:val="00320D92"/>
    <w:rsid w:val="00323D71"/>
    <w:rsid w:val="003313F6"/>
    <w:rsid w:val="00332D31"/>
    <w:rsid w:val="003338CB"/>
    <w:rsid w:val="0033479A"/>
    <w:rsid w:val="0033521A"/>
    <w:rsid w:val="00335C31"/>
    <w:rsid w:val="00337804"/>
    <w:rsid w:val="0034292C"/>
    <w:rsid w:val="003429A4"/>
    <w:rsid w:val="003433C0"/>
    <w:rsid w:val="00343959"/>
    <w:rsid w:val="00344BB7"/>
    <w:rsid w:val="00344EA6"/>
    <w:rsid w:val="003453D9"/>
    <w:rsid w:val="00345D0E"/>
    <w:rsid w:val="003527D2"/>
    <w:rsid w:val="00352DFA"/>
    <w:rsid w:val="00354218"/>
    <w:rsid w:val="00354BEE"/>
    <w:rsid w:val="003565A3"/>
    <w:rsid w:val="00357714"/>
    <w:rsid w:val="003602B6"/>
    <w:rsid w:val="00360BC5"/>
    <w:rsid w:val="00364BAA"/>
    <w:rsid w:val="00364BB5"/>
    <w:rsid w:val="00364D8D"/>
    <w:rsid w:val="00366652"/>
    <w:rsid w:val="00367C3E"/>
    <w:rsid w:val="003760AD"/>
    <w:rsid w:val="00380373"/>
    <w:rsid w:val="00380785"/>
    <w:rsid w:val="00381D91"/>
    <w:rsid w:val="00381E18"/>
    <w:rsid w:val="00381F95"/>
    <w:rsid w:val="00387F72"/>
    <w:rsid w:val="003924E7"/>
    <w:rsid w:val="0039302B"/>
    <w:rsid w:val="0039347D"/>
    <w:rsid w:val="003947AC"/>
    <w:rsid w:val="00397A87"/>
    <w:rsid w:val="003A10E2"/>
    <w:rsid w:val="003A2B9A"/>
    <w:rsid w:val="003A49CE"/>
    <w:rsid w:val="003A5334"/>
    <w:rsid w:val="003A551E"/>
    <w:rsid w:val="003A62B4"/>
    <w:rsid w:val="003A7869"/>
    <w:rsid w:val="003B0DD9"/>
    <w:rsid w:val="003B215C"/>
    <w:rsid w:val="003B25E3"/>
    <w:rsid w:val="003B3524"/>
    <w:rsid w:val="003B3E3D"/>
    <w:rsid w:val="003B5418"/>
    <w:rsid w:val="003B61A5"/>
    <w:rsid w:val="003B738E"/>
    <w:rsid w:val="003C0ABD"/>
    <w:rsid w:val="003C0FF1"/>
    <w:rsid w:val="003C64F1"/>
    <w:rsid w:val="003C6B01"/>
    <w:rsid w:val="003C6D5E"/>
    <w:rsid w:val="003D0B4B"/>
    <w:rsid w:val="003D5A3F"/>
    <w:rsid w:val="003D611A"/>
    <w:rsid w:val="003E20A8"/>
    <w:rsid w:val="003E24AC"/>
    <w:rsid w:val="003E265A"/>
    <w:rsid w:val="003E4380"/>
    <w:rsid w:val="003E7252"/>
    <w:rsid w:val="003E79B5"/>
    <w:rsid w:val="003F0F3B"/>
    <w:rsid w:val="003F1063"/>
    <w:rsid w:val="003F11E2"/>
    <w:rsid w:val="003F4FB0"/>
    <w:rsid w:val="00402267"/>
    <w:rsid w:val="00405907"/>
    <w:rsid w:val="00410CCA"/>
    <w:rsid w:val="0041151B"/>
    <w:rsid w:val="00416681"/>
    <w:rsid w:val="00417504"/>
    <w:rsid w:val="004179FA"/>
    <w:rsid w:val="00421579"/>
    <w:rsid w:val="00421CD7"/>
    <w:rsid w:val="00422079"/>
    <w:rsid w:val="004227CD"/>
    <w:rsid w:val="0042675F"/>
    <w:rsid w:val="004273F3"/>
    <w:rsid w:val="004309DA"/>
    <w:rsid w:val="004320B4"/>
    <w:rsid w:val="00432105"/>
    <w:rsid w:val="004322F9"/>
    <w:rsid w:val="00434B25"/>
    <w:rsid w:val="00436DED"/>
    <w:rsid w:val="00442DF4"/>
    <w:rsid w:val="004444D8"/>
    <w:rsid w:val="0044490E"/>
    <w:rsid w:val="0044710C"/>
    <w:rsid w:val="00450E52"/>
    <w:rsid w:val="00453BDF"/>
    <w:rsid w:val="004560E5"/>
    <w:rsid w:val="00460FED"/>
    <w:rsid w:val="00461121"/>
    <w:rsid w:val="00461CB1"/>
    <w:rsid w:val="0046463C"/>
    <w:rsid w:val="00464D76"/>
    <w:rsid w:val="00467A1D"/>
    <w:rsid w:val="00471613"/>
    <w:rsid w:val="004718A1"/>
    <w:rsid w:val="004753F5"/>
    <w:rsid w:val="00475A5C"/>
    <w:rsid w:val="00480E15"/>
    <w:rsid w:val="004845E8"/>
    <w:rsid w:val="00484807"/>
    <w:rsid w:val="00484B65"/>
    <w:rsid w:val="0048640C"/>
    <w:rsid w:val="0048657E"/>
    <w:rsid w:val="00487378"/>
    <w:rsid w:val="00487DE2"/>
    <w:rsid w:val="00493BD6"/>
    <w:rsid w:val="00494535"/>
    <w:rsid w:val="00496624"/>
    <w:rsid w:val="004A130C"/>
    <w:rsid w:val="004A1D56"/>
    <w:rsid w:val="004A3395"/>
    <w:rsid w:val="004A33CD"/>
    <w:rsid w:val="004A4899"/>
    <w:rsid w:val="004A4A6E"/>
    <w:rsid w:val="004A5906"/>
    <w:rsid w:val="004A7F6B"/>
    <w:rsid w:val="004B335E"/>
    <w:rsid w:val="004B3CC1"/>
    <w:rsid w:val="004B446B"/>
    <w:rsid w:val="004B46CD"/>
    <w:rsid w:val="004B4ED6"/>
    <w:rsid w:val="004B5F2E"/>
    <w:rsid w:val="004C06E9"/>
    <w:rsid w:val="004C33A4"/>
    <w:rsid w:val="004C516D"/>
    <w:rsid w:val="004C563E"/>
    <w:rsid w:val="004C5F66"/>
    <w:rsid w:val="004C7111"/>
    <w:rsid w:val="004C7B3D"/>
    <w:rsid w:val="004D059D"/>
    <w:rsid w:val="004D3C98"/>
    <w:rsid w:val="004D4CEC"/>
    <w:rsid w:val="004D5B79"/>
    <w:rsid w:val="004D7675"/>
    <w:rsid w:val="004E183B"/>
    <w:rsid w:val="004E1A4E"/>
    <w:rsid w:val="004E3496"/>
    <w:rsid w:val="004E64BF"/>
    <w:rsid w:val="004E7492"/>
    <w:rsid w:val="004E7DEE"/>
    <w:rsid w:val="004F3E9F"/>
    <w:rsid w:val="004F432E"/>
    <w:rsid w:val="004F5F98"/>
    <w:rsid w:val="004F6F7B"/>
    <w:rsid w:val="005011A9"/>
    <w:rsid w:val="005071F4"/>
    <w:rsid w:val="00510F2D"/>
    <w:rsid w:val="005131E4"/>
    <w:rsid w:val="00513388"/>
    <w:rsid w:val="005141C2"/>
    <w:rsid w:val="00517A4E"/>
    <w:rsid w:val="0052383C"/>
    <w:rsid w:val="00530A94"/>
    <w:rsid w:val="00537758"/>
    <w:rsid w:val="005405C2"/>
    <w:rsid w:val="005409DC"/>
    <w:rsid w:val="00540CE2"/>
    <w:rsid w:val="00542DFD"/>
    <w:rsid w:val="0054365B"/>
    <w:rsid w:val="00543F16"/>
    <w:rsid w:val="00543F8B"/>
    <w:rsid w:val="00545593"/>
    <w:rsid w:val="00545B92"/>
    <w:rsid w:val="00547BD5"/>
    <w:rsid w:val="00547BD7"/>
    <w:rsid w:val="00552A25"/>
    <w:rsid w:val="00561315"/>
    <w:rsid w:val="005660AA"/>
    <w:rsid w:val="00567A07"/>
    <w:rsid w:val="00570DBE"/>
    <w:rsid w:val="0057143E"/>
    <w:rsid w:val="00571962"/>
    <w:rsid w:val="00571FD6"/>
    <w:rsid w:val="005724DB"/>
    <w:rsid w:val="0057314D"/>
    <w:rsid w:val="00574AE5"/>
    <w:rsid w:val="0057656E"/>
    <w:rsid w:val="00581F1F"/>
    <w:rsid w:val="00582C26"/>
    <w:rsid w:val="005856B1"/>
    <w:rsid w:val="005856F5"/>
    <w:rsid w:val="00587234"/>
    <w:rsid w:val="0058735B"/>
    <w:rsid w:val="0059108E"/>
    <w:rsid w:val="005919C0"/>
    <w:rsid w:val="005945B1"/>
    <w:rsid w:val="00595B1D"/>
    <w:rsid w:val="00595DDC"/>
    <w:rsid w:val="005969B5"/>
    <w:rsid w:val="005A025C"/>
    <w:rsid w:val="005A13A3"/>
    <w:rsid w:val="005A2E83"/>
    <w:rsid w:val="005A354C"/>
    <w:rsid w:val="005A57A7"/>
    <w:rsid w:val="005A597E"/>
    <w:rsid w:val="005B4A21"/>
    <w:rsid w:val="005B5AEB"/>
    <w:rsid w:val="005B5C4C"/>
    <w:rsid w:val="005C2505"/>
    <w:rsid w:val="005C3E7D"/>
    <w:rsid w:val="005C538A"/>
    <w:rsid w:val="005C55A3"/>
    <w:rsid w:val="005C6A95"/>
    <w:rsid w:val="005D04EF"/>
    <w:rsid w:val="005D0669"/>
    <w:rsid w:val="005D1F71"/>
    <w:rsid w:val="005D6FAF"/>
    <w:rsid w:val="005E05E9"/>
    <w:rsid w:val="005E0639"/>
    <w:rsid w:val="005E1194"/>
    <w:rsid w:val="005E1B50"/>
    <w:rsid w:val="005E2E62"/>
    <w:rsid w:val="005E48B1"/>
    <w:rsid w:val="005E5668"/>
    <w:rsid w:val="005E5A89"/>
    <w:rsid w:val="005E65C1"/>
    <w:rsid w:val="005F0B61"/>
    <w:rsid w:val="005F1443"/>
    <w:rsid w:val="005F1D86"/>
    <w:rsid w:val="005F3DA0"/>
    <w:rsid w:val="005F5956"/>
    <w:rsid w:val="005F66E7"/>
    <w:rsid w:val="006007DA"/>
    <w:rsid w:val="006025C0"/>
    <w:rsid w:val="00602616"/>
    <w:rsid w:val="00603316"/>
    <w:rsid w:val="006041DF"/>
    <w:rsid w:val="0060473D"/>
    <w:rsid w:val="00606156"/>
    <w:rsid w:val="006102C1"/>
    <w:rsid w:val="00610733"/>
    <w:rsid w:val="00610CD9"/>
    <w:rsid w:val="006116FA"/>
    <w:rsid w:val="00611BEB"/>
    <w:rsid w:val="00620681"/>
    <w:rsid w:val="00624D17"/>
    <w:rsid w:val="00625653"/>
    <w:rsid w:val="00625694"/>
    <w:rsid w:val="006256DE"/>
    <w:rsid w:val="0062785B"/>
    <w:rsid w:val="006325EE"/>
    <w:rsid w:val="00632F34"/>
    <w:rsid w:val="00633F94"/>
    <w:rsid w:val="00634933"/>
    <w:rsid w:val="00650D93"/>
    <w:rsid w:val="006517AF"/>
    <w:rsid w:val="00652843"/>
    <w:rsid w:val="0065527A"/>
    <w:rsid w:val="0065652A"/>
    <w:rsid w:val="0066324C"/>
    <w:rsid w:val="00666EA2"/>
    <w:rsid w:val="00672001"/>
    <w:rsid w:val="006727B5"/>
    <w:rsid w:val="00672AB1"/>
    <w:rsid w:val="006752CE"/>
    <w:rsid w:val="006758CD"/>
    <w:rsid w:val="00676295"/>
    <w:rsid w:val="00683D1D"/>
    <w:rsid w:val="006841C2"/>
    <w:rsid w:val="0068463D"/>
    <w:rsid w:val="00684E9D"/>
    <w:rsid w:val="0068728C"/>
    <w:rsid w:val="00687A9D"/>
    <w:rsid w:val="00690212"/>
    <w:rsid w:val="00691E3C"/>
    <w:rsid w:val="00692228"/>
    <w:rsid w:val="00693E0D"/>
    <w:rsid w:val="00697D9C"/>
    <w:rsid w:val="006A13F2"/>
    <w:rsid w:val="006A5F0B"/>
    <w:rsid w:val="006A7537"/>
    <w:rsid w:val="006B05B7"/>
    <w:rsid w:val="006B2EA9"/>
    <w:rsid w:val="006B538B"/>
    <w:rsid w:val="006B7DA0"/>
    <w:rsid w:val="006C1A2C"/>
    <w:rsid w:val="006C2600"/>
    <w:rsid w:val="006C2FC4"/>
    <w:rsid w:val="006C5437"/>
    <w:rsid w:val="006D2EF6"/>
    <w:rsid w:val="006D3B10"/>
    <w:rsid w:val="006D461B"/>
    <w:rsid w:val="006D6EE0"/>
    <w:rsid w:val="006D6FCC"/>
    <w:rsid w:val="006D7D53"/>
    <w:rsid w:val="006E043D"/>
    <w:rsid w:val="006E20F9"/>
    <w:rsid w:val="006E2860"/>
    <w:rsid w:val="006E2C2B"/>
    <w:rsid w:val="006E3F25"/>
    <w:rsid w:val="006E53E0"/>
    <w:rsid w:val="006E5D81"/>
    <w:rsid w:val="006E6C30"/>
    <w:rsid w:val="006E73F9"/>
    <w:rsid w:val="006F08E2"/>
    <w:rsid w:val="006F34CD"/>
    <w:rsid w:val="006F4147"/>
    <w:rsid w:val="006F5652"/>
    <w:rsid w:val="006F71D0"/>
    <w:rsid w:val="006F7903"/>
    <w:rsid w:val="00701301"/>
    <w:rsid w:val="0070347D"/>
    <w:rsid w:val="00703D51"/>
    <w:rsid w:val="007051BC"/>
    <w:rsid w:val="007060CF"/>
    <w:rsid w:val="00707776"/>
    <w:rsid w:val="00710DEB"/>
    <w:rsid w:val="0071164D"/>
    <w:rsid w:val="007116B8"/>
    <w:rsid w:val="00712308"/>
    <w:rsid w:val="007123F2"/>
    <w:rsid w:val="00712634"/>
    <w:rsid w:val="00713E58"/>
    <w:rsid w:val="00714A6E"/>
    <w:rsid w:val="00715DA9"/>
    <w:rsid w:val="00717A66"/>
    <w:rsid w:val="00731DEB"/>
    <w:rsid w:val="007343B9"/>
    <w:rsid w:val="00735734"/>
    <w:rsid w:val="007407DC"/>
    <w:rsid w:val="00743CD8"/>
    <w:rsid w:val="00745415"/>
    <w:rsid w:val="00745B97"/>
    <w:rsid w:val="00750036"/>
    <w:rsid w:val="00752E92"/>
    <w:rsid w:val="0075314B"/>
    <w:rsid w:val="0075425D"/>
    <w:rsid w:val="007550C0"/>
    <w:rsid w:val="007554AF"/>
    <w:rsid w:val="007612B9"/>
    <w:rsid w:val="007624F1"/>
    <w:rsid w:val="00763779"/>
    <w:rsid w:val="00767F6D"/>
    <w:rsid w:val="00771216"/>
    <w:rsid w:val="00771437"/>
    <w:rsid w:val="007762F4"/>
    <w:rsid w:val="00776D67"/>
    <w:rsid w:val="00780113"/>
    <w:rsid w:val="00782FFD"/>
    <w:rsid w:val="00783B46"/>
    <w:rsid w:val="00783C7B"/>
    <w:rsid w:val="00785D95"/>
    <w:rsid w:val="00786010"/>
    <w:rsid w:val="00787A61"/>
    <w:rsid w:val="00793B89"/>
    <w:rsid w:val="00795D83"/>
    <w:rsid w:val="007A1F55"/>
    <w:rsid w:val="007A23EC"/>
    <w:rsid w:val="007A52C3"/>
    <w:rsid w:val="007A5BE8"/>
    <w:rsid w:val="007B0604"/>
    <w:rsid w:val="007B1539"/>
    <w:rsid w:val="007B245A"/>
    <w:rsid w:val="007B7523"/>
    <w:rsid w:val="007B7AA7"/>
    <w:rsid w:val="007C095C"/>
    <w:rsid w:val="007C1571"/>
    <w:rsid w:val="007C44EC"/>
    <w:rsid w:val="007C5CC2"/>
    <w:rsid w:val="007C5EBF"/>
    <w:rsid w:val="007C6F5F"/>
    <w:rsid w:val="007D4460"/>
    <w:rsid w:val="007D564C"/>
    <w:rsid w:val="007D58B4"/>
    <w:rsid w:val="007D606A"/>
    <w:rsid w:val="007D67FE"/>
    <w:rsid w:val="007D7158"/>
    <w:rsid w:val="007E122F"/>
    <w:rsid w:val="007E1396"/>
    <w:rsid w:val="007E1E23"/>
    <w:rsid w:val="007E23AD"/>
    <w:rsid w:val="007E4941"/>
    <w:rsid w:val="007E4BAE"/>
    <w:rsid w:val="007E7037"/>
    <w:rsid w:val="007F3179"/>
    <w:rsid w:val="007F46BB"/>
    <w:rsid w:val="007F5423"/>
    <w:rsid w:val="007F75EF"/>
    <w:rsid w:val="007F790E"/>
    <w:rsid w:val="0080197A"/>
    <w:rsid w:val="0080331A"/>
    <w:rsid w:val="00805CCF"/>
    <w:rsid w:val="00806935"/>
    <w:rsid w:val="00811906"/>
    <w:rsid w:val="00811D58"/>
    <w:rsid w:val="00812008"/>
    <w:rsid w:val="00815C14"/>
    <w:rsid w:val="00815EB5"/>
    <w:rsid w:val="008176EA"/>
    <w:rsid w:val="00817DFC"/>
    <w:rsid w:val="008229F7"/>
    <w:rsid w:val="00825648"/>
    <w:rsid w:val="00830B07"/>
    <w:rsid w:val="008323B3"/>
    <w:rsid w:val="00835C3A"/>
    <w:rsid w:val="0083669B"/>
    <w:rsid w:val="00837BEC"/>
    <w:rsid w:val="00843190"/>
    <w:rsid w:val="00844486"/>
    <w:rsid w:val="00844B8E"/>
    <w:rsid w:val="0084687B"/>
    <w:rsid w:val="0084747F"/>
    <w:rsid w:val="0085553F"/>
    <w:rsid w:val="00856C26"/>
    <w:rsid w:val="00861EE5"/>
    <w:rsid w:val="008627C3"/>
    <w:rsid w:val="00862BF0"/>
    <w:rsid w:val="00862C81"/>
    <w:rsid w:val="008631A6"/>
    <w:rsid w:val="008631F0"/>
    <w:rsid w:val="00863688"/>
    <w:rsid w:val="008650B0"/>
    <w:rsid w:val="00866E9D"/>
    <w:rsid w:val="00873FB6"/>
    <w:rsid w:val="008770CA"/>
    <w:rsid w:val="008809EC"/>
    <w:rsid w:val="00882B4C"/>
    <w:rsid w:val="00886C4D"/>
    <w:rsid w:val="00886D85"/>
    <w:rsid w:val="0089018B"/>
    <w:rsid w:val="0089022F"/>
    <w:rsid w:val="008920E2"/>
    <w:rsid w:val="00895ABB"/>
    <w:rsid w:val="0089679A"/>
    <w:rsid w:val="00897DFD"/>
    <w:rsid w:val="008A1ABD"/>
    <w:rsid w:val="008A1E6A"/>
    <w:rsid w:val="008A48F7"/>
    <w:rsid w:val="008A50C5"/>
    <w:rsid w:val="008B0D0C"/>
    <w:rsid w:val="008B1E20"/>
    <w:rsid w:val="008B3688"/>
    <w:rsid w:val="008B475C"/>
    <w:rsid w:val="008B5508"/>
    <w:rsid w:val="008B58A9"/>
    <w:rsid w:val="008C2AD0"/>
    <w:rsid w:val="008C3C51"/>
    <w:rsid w:val="008C50E4"/>
    <w:rsid w:val="008C77FD"/>
    <w:rsid w:val="008D01E9"/>
    <w:rsid w:val="008D207C"/>
    <w:rsid w:val="008D3B24"/>
    <w:rsid w:val="008D5DE3"/>
    <w:rsid w:val="008D7040"/>
    <w:rsid w:val="008E0068"/>
    <w:rsid w:val="008E09B1"/>
    <w:rsid w:val="008E178D"/>
    <w:rsid w:val="008E70CB"/>
    <w:rsid w:val="008F0555"/>
    <w:rsid w:val="008F0FC7"/>
    <w:rsid w:val="008F35BD"/>
    <w:rsid w:val="008F70F0"/>
    <w:rsid w:val="008F7661"/>
    <w:rsid w:val="00911863"/>
    <w:rsid w:val="00917BD4"/>
    <w:rsid w:val="00921111"/>
    <w:rsid w:val="009246E3"/>
    <w:rsid w:val="00924850"/>
    <w:rsid w:val="009257DF"/>
    <w:rsid w:val="00925846"/>
    <w:rsid w:val="00930ED0"/>
    <w:rsid w:val="009315BF"/>
    <w:rsid w:val="009317D2"/>
    <w:rsid w:val="009321EA"/>
    <w:rsid w:val="009336E3"/>
    <w:rsid w:val="009348E1"/>
    <w:rsid w:val="00941189"/>
    <w:rsid w:val="00944C0C"/>
    <w:rsid w:val="00944CB4"/>
    <w:rsid w:val="00945133"/>
    <w:rsid w:val="009507E8"/>
    <w:rsid w:val="00950E95"/>
    <w:rsid w:val="009527F7"/>
    <w:rsid w:val="00952B02"/>
    <w:rsid w:val="009538F0"/>
    <w:rsid w:val="00954682"/>
    <w:rsid w:val="009547C0"/>
    <w:rsid w:val="0095637B"/>
    <w:rsid w:val="009564ED"/>
    <w:rsid w:val="00960221"/>
    <w:rsid w:val="00960BC8"/>
    <w:rsid w:val="009643EC"/>
    <w:rsid w:val="00964A9B"/>
    <w:rsid w:val="00965796"/>
    <w:rsid w:val="0096711E"/>
    <w:rsid w:val="00967EE8"/>
    <w:rsid w:val="00967F66"/>
    <w:rsid w:val="00974CB6"/>
    <w:rsid w:val="009777D1"/>
    <w:rsid w:val="00981F9F"/>
    <w:rsid w:val="009859EB"/>
    <w:rsid w:val="0098616A"/>
    <w:rsid w:val="009861FE"/>
    <w:rsid w:val="009878B2"/>
    <w:rsid w:val="009939E8"/>
    <w:rsid w:val="0099530D"/>
    <w:rsid w:val="009969CA"/>
    <w:rsid w:val="00996A5C"/>
    <w:rsid w:val="009A240A"/>
    <w:rsid w:val="009A7440"/>
    <w:rsid w:val="009B0371"/>
    <w:rsid w:val="009B258E"/>
    <w:rsid w:val="009B286B"/>
    <w:rsid w:val="009B6284"/>
    <w:rsid w:val="009C02DF"/>
    <w:rsid w:val="009C6BCC"/>
    <w:rsid w:val="009C7197"/>
    <w:rsid w:val="009C720D"/>
    <w:rsid w:val="009D19E9"/>
    <w:rsid w:val="009D2052"/>
    <w:rsid w:val="009D7B70"/>
    <w:rsid w:val="009D7CB8"/>
    <w:rsid w:val="009E1945"/>
    <w:rsid w:val="009E364A"/>
    <w:rsid w:val="009E4103"/>
    <w:rsid w:val="009E47BF"/>
    <w:rsid w:val="009E4B35"/>
    <w:rsid w:val="009E7E96"/>
    <w:rsid w:val="009F23B8"/>
    <w:rsid w:val="009F3021"/>
    <w:rsid w:val="009F4D3C"/>
    <w:rsid w:val="009F53F5"/>
    <w:rsid w:val="009F5B18"/>
    <w:rsid w:val="00A04F94"/>
    <w:rsid w:val="00A05046"/>
    <w:rsid w:val="00A069D9"/>
    <w:rsid w:val="00A07AB2"/>
    <w:rsid w:val="00A10D58"/>
    <w:rsid w:val="00A137D9"/>
    <w:rsid w:val="00A15C06"/>
    <w:rsid w:val="00A20783"/>
    <w:rsid w:val="00A21FD1"/>
    <w:rsid w:val="00A22551"/>
    <w:rsid w:val="00A22F77"/>
    <w:rsid w:val="00A23A37"/>
    <w:rsid w:val="00A241AA"/>
    <w:rsid w:val="00A247AD"/>
    <w:rsid w:val="00A26416"/>
    <w:rsid w:val="00A27AF7"/>
    <w:rsid w:val="00A30144"/>
    <w:rsid w:val="00A3027B"/>
    <w:rsid w:val="00A31244"/>
    <w:rsid w:val="00A31F2F"/>
    <w:rsid w:val="00A34395"/>
    <w:rsid w:val="00A42FEE"/>
    <w:rsid w:val="00A43BD0"/>
    <w:rsid w:val="00A44A37"/>
    <w:rsid w:val="00A44EE0"/>
    <w:rsid w:val="00A45814"/>
    <w:rsid w:val="00A51CF4"/>
    <w:rsid w:val="00A51EC7"/>
    <w:rsid w:val="00A5287D"/>
    <w:rsid w:val="00A554F2"/>
    <w:rsid w:val="00A570B0"/>
    <w:rsid w:val="00A5758A"/>
    <w:rsid w:val="00A57DF9"/>
    <w:rsid w:val="00A61163"/>
    <w:rsid w:val="00A644F5"/>
    <w:rsid w:val="00A64FC8"/>
    <w:rsid w:val="00A64FE1"/>
    <w:rsid w:val="00A66993"/>
    <w:rsid w:val="00A674FD"/>
    <w:rsid w:val="00A710E2"/>
    <w:rsid w:val="00A7205C"/>
    <w:rsid w:val="00A7312F"/>
    <w:rsid w:val="00A7408A"/>
    <w:rsid w:val="00A75391"/>
    <w:rsid w:val="00A76CFB"/>
    <w:rsid w:val="00A77A9F"/>
    <w:rsid w:val="00A82B3D"/>
    <w:rsid w:val="00A833DB"/>
    <w:rsid w:val="00A8405B"/>
    <w:rsid w:val="00A871CE"/>
    <w:rsid w:val="00A876C2"/>
    <w:rsid w:val="00A9039B"/>
    <w:rsid w:val="00A94B21"/>
    <w:rsid w:val="00A95B23"/>
    <w:rsid w:val="00A96232"/>
    <w:rsid w:val="00AA0C39"/>
    <w:rsid w:val="00AA4D07"/>
    <w:rsid w:val="00AA72C5"/>
    <w:rsid w:val="00AB05F3"/>
    <w:rsid w:val="00AB1150"/>
    <w:rsid w:val="00AB22D6"/>
    <w:rsid w:val="00AB2C55"/>
    <w:rsid w:val="00AB693A"/>
    <w:rsid w:val="00AB746D"/>
    <w:rsid w:val="00AC1E59"/>
    <w:rsid w:val="00AC44EC"/>
    <w:rsid w:val="00AD0CF5"/>
    <w:rsid w:val="00AD2201"/>
    <w:rsid w:val="00AD24EE"/>
    <w:rsid w:val="00AD2E93"/>
    <w:rsid w:val="00AD3D92"/>
    <w:rsid w:val="00AD3F23"/>
    <w:rsid w:val="00AD48CF"/>
    <w:rsid w:val="00AD7F4B"/>
    <w:rsid w:val="00AE0A61"/>
    <w:rsid w:val="00AE65BE"/>
    <w:rsid w:val="00AE74DC"/>
    <w:rsid w:val="00AF0015"/>
    <w:rsid w:val="00AF1DB8"/>
    <w:rsid w:val="00AF29BF"/>
    <w:rsid w:val="00AF676B"/>
    <w:rsid w:val="00AF7856"/>
    <w:rsid w:val="00B02932"/>
    <w:rsid w:val="00B03BDD"/>
    <w:rsid w:val="00B042B6"/>
    <w:rsid w:val="00B048F8"/>
    <w:rsid w:val="00B06103"/>
    <w:rsid w:val="00B06341"/>
    <w:rsid w:val="00B13636"/>
    <w:rsid w:val="00B140B8"/>
    <w:rsid w:val="00B14DA0"/>
    <w:rsid w:val="00B15EC4"/>
    <w:rsid w:val="00B241E1"/>
    <w:rsid w:val="00B3308D"/>
    <w:rsid w:val="00B33C39"/>
    <w:rsid w:val="00B35FE4"/>
    <w:rsid w:val="00B40A85"/>
    <w:rsid w:val="00B46DFF"/>
    <w:rsid w:val="00B56586"/>
    <w:rsid w:val="00B574CD"/>
    <w:rsid w:val="00B636FC"/>
    <w:rsid w:val="00B6582B"/>
    <w:rsid w:val="00B65D02"/>
    <w:rsid w:val="00B7090D"/>
    <w:rsid w:val="00B72B8B"/>
    <w:rsid w:val="00B7424A"/>
    <w:rsid w:val="00B74261"/>
    <w:rsid w:val="00B74C6F"/>
    <w:rsid w:val="00B821B5"/>
    <w:rsid w:val="00B82680"/>
    <w:rsid w:val="00B8413E"/>
    <w:rsid w:val="00B84A07"/>
    <w:rsid w:val="00B858BC"/>
    <w:rsid w:val="00B91B14"/>
    <w:rsid w:val="00B9509B"/>
    <w:rsid w:val="00BA4FAD"/>
    <w:rsid w:val="00BA5257"/>
    <w:rsid w:val="00BA61A3"/>
    <w:rsid w:val="00BB1B13"/>
    <w:rsid w:val="00BB2C1B"/>
    <w:rsid w:val="00BB66E8"/>
    <w:rsid w:val="00BB7283"/>
    <w:rsid w:val="00BB76AC"/>
    <w:rsid w:val="00BC0528"/>
    <w:rsid w:val="00BC0A00"/>
    <w:rsid w:val="00BC10BA"/>
    <w:rsid w:val="00BC1FB8"/>
    <w:rsid w:val="00BC50B6"/>
    <w:rsid w:val="00BC751C"/>
    <w:rsid w:val="00BD11AD"/>
    <w:rsid w:val="00BD171F"/>
    <w:rsid w:val="00BD3164"/>
    <w:rsid w:val="00BD3309"/>
    <w:rsid w:val="00BD3DAB"/>
    <w:rsid w:val="00BE1BED"/>
    <w:rsid w:val="00BE33FA"/>
    <w:rsid w:val="00BE60C6"/>
    <w:rsid w:val="00BE60EF"/>
    <w:rsid w:val="00BF2118"/>
    <w:rsid w:val="00BF23C6"/>
    <w:rsid w:val="00BF3CD6"/>
    <w:rsid w:val="00BF6E28"/>
    <w:rsid w:val="00BF6E9B"/>
    <w:rsid w:val="00C01EC0"/>
    <w:rsid w:val="00C020FE"/>
    <w:rsid w:val="00C04B10"/>
    <w:rsid w:val="00C062D8"/>
    <w:rsid w:val="00C06C08"/>
    <w:rsid w:val="00C074AF"/>
    <w:rsid w:val="00C07F94"/>
    <w:rsid w:val="00C10159"/>
    <w:rsid w:val="00C13596"/>
    <w:rsid w:val="00C20DB8"/>
    <w:rsid w:val="00C21387"/>
    <w:rsid w:val="00C23609"/>
    <w:rsid w:val="00C30AC0"/>
    <w:rsid w:val="00C32A71"/>
    <w:rsid w:val="00C3388F"/>
    <w:rsid w:val="00C33EE3"/>
    <w:rsid w:val="00C41291"/>
    <w:rsid w:val="00C413E0"/>
    <w:rsid w:val="00C41F9E"/>
    <w:rsid w:val="00C42435"/>
    <w:rsid w:val="00C42E4C"/>
    <w:rsid w:val="00C448E0"/>
    <w:rsid w:val="00C47BF2"/>
    <w:rsid w:val="00C515A2"/>
    <w:rsid w:val="00C516E7"/>
    <w:rsid w:val="00C53EE1"/>
    <w:rsid w:val="00C55245"/>
    <w:rsid w:val="00C56229"/>
    <w:rsid w:val="00C6030F"/>
    <w:rsid w:val="00C63538"/>
    <w:rsid w:val="00C643B4"/>
    <w:rsid w:val="00C64D27"/>
    <w:rsid w:val="00C65059"/>
    <w:rsid w:val="00C6521C"/>
    <w:rsid w:val="00C667FE"/>
    <w:rsid w:val="00C70547"/>
    <w:rsid w:val="00C713CF"/>
    <w:rsid w:val="00C71C58"/>
    <w:rsid w:val="00C7256F"/>
    <w:rsid w:val="00C745C7"/>
    <w:rsid w:val="00C754A5"/>
    <w:rsid w:val="00C75D9F"/>
    <w:rsid w:val="00C76673"/>
    <w:rsid w:val="00C770DB"/>
    <w:rsid w:val="00C81D1C"/>
    <w:rsid w:val="00C82DFB"/>
    <w:rsid w:val="00C83C62"/>
    <w:rsid w:val="00C85BDC"/>
    <w:rsid w:val="00C9359A"/>
    <w:rsid w:val="00C95CB5"/>
    <w:rsid w:val="00C95E4A"/>
    <w:rsid w:val="00CA34C8"/>
    <w:rsid w:val="00CA3EA2"/>
    <w:rsid w:val="00CA410C"/>
    <w:rsid w:val="00CA4B90"/>
    <w:rsid w:val="00CA4DF8"/>
    <w:rsid w:val="00CA5010"/>
    <w:rsid w:val="00CA7392"/>
    <w:rsid w:val="00CB206F"/>
    <w:rsid w:val="00CB3D8B"/>
    <w:rsid w:val="00CC0118"/>
    <w:rsid w:val="00CC0829"/>
    <w:rsid w:val="00CC258C"/>
    <w:rsid w:val="00CC2643"/>
    <w:rsid w:val="00CC2752"/>
    <w:rsid w:val="00CC2B68"/>
    <w:rsid w:val="00CC42ED"/>
    <w:rsid w:val="00CC6027"/>
    <w:rsid w:val="00CC670A"/>
    <w:rsid w:val="00CC74A0"/>
    <w:rsid w:val="00CD12A9"/>
    <w:rsid w:val="00CD1FBB"/>
    <w:rsid w:val="00CD25CC"/>
    <w:rsid w:val="00CD7058"/>
    <w:rsid w:val="00CD7A9F"/>
    <w:rsid w:val="00CE287C"/>
    <w:rsid w:val="00CE2C2C"/>
    <w:rsid w:val="00CE5032"/>
    <w:rsid w:val="00CF53F0"/>
    <w:rsid w:val="00D00710"/>
    <w:rsid w:val="00D013C4"/>
    <w:rsid w:val="00D044F5"/>
    <w:rsid w:val="00D07E56"/>
    <w:rsid w:val="00D13065"/>
    <w:rsid w:val="00D15E89"/>
    <w:rsid w:val="00D16C62"/>
    <w:rsid w:val="00D2020D"/>
    <w:rsid w:val="00D2075D"/>
    <w:rsid w:val="00D22613"/>
    <w:rsid w:val="00D23F44"/>
    <w:rsid w:val="00D244B3"/>
    <w:rsid w:val="00D25AFC"/>
    <w:rsid w:val="00D2640F"/>
    <w:rsid w:val="00D27B48"/>
    <w:rsid w:val="00D30802"/>
    <w:rsid w:val="00D36F5A"/>
    <w:rsid w:val="00D36FF2"/>
    <w:rsid w:val="00D3733D"/>
    <w:rsid w:val="00D40C1D"/>
    <w:rsid w:val="00D4286E"/>
    <w:rsid w:val="00D42EE3"/>
    <w:rsid w:val="00D44EDA"/>
    <w:rsid w:val="00D45B0A"/>
    <w:rsid w:val="00D46928"/>
    <w:rsid w:val="00D46B0D"/>
    <w:rsid w:val="00D5128B"/>
    <w:rsid w:val="00D5200A"/>
    <w:rsid w:val="00D562C6"/>
    <w:rsid w:val="00D60702"/>
    <w:rsid w:val="00D65801"/>
    <w:rsid w:val="00D6601A"/>
    <w:rsid w:val="00D7188B"/>
    <w:rsid w:val="00D824FB"/>
    <w:rsid w:val="00D831C3"/>
    <w:rsid w:val="00D837D8"/>
    <w:rsid w:val="00D83B34"/>
    <w:rsid w:val="00D8493C"/>
    <w:rsid w:val="00D860B7"/>
    <w:rsid w:val="00D90B29"/>
    <w:rsid w:val="00D90C5C"/>
    <w:rsid w:val="00D92D2A"/>
    <w:rsid w:val="00D96CB0"/>
    <w:rsid w:val="00DA5D76"/>
    <w:rsid w:val="00DA7AF0"/>
    <w:rsid w:val="00DB4F25"/>
    <w:rsid w:val="00DB5C01"/>
    <w:rsid w:val="00DC0085"/>
    <w:rsid w:val="00DC0742"/>
    <w:rsid w:val="00DC1041"/>
    <w:rsid w:val="00DC4774"/>
    <w:rsid w:val="00DD2159"/>
    <w:rsid w:val="00DD4CBF"/>
    <w:rsid w:val="00DD565E"/>
    <w:rsid w:val="00DD6F18"/>
    <w:rsid w:val="00DE0846"/>
    <w:rsid w:val="00DE2B43"/>
    <w:rsid w:val="00DE526F"/>
    <w:rsid w:val="00DE6064"/>
    <w:rsid w:val="00DF175C"/>
    <w:rsid w:val="00DF17A5"/>
    <w:rsid w:val="00DF5472"/>
    <w:rsid w:val="00DF5E15"/>
    <w:rsid w:val="00DF66BA"/>
    <w:rsid w:val="00E00789"/>
    <w:rsid w:val="00E00ECA"/>
    <w:rsid w:val="00E02378"/>
    <w:rsid w:val="00E029DF"/>
    <w:rsid w:val="00E035B4"/>
    <w:rsid w:val="00E045A9"/>
    <w:rsid w:val="00E075E5"/>
    <w:rsid w:val="00E076F3"/>
    <w:rsid w:val="00E11023"/>
    <w:rsid w:val="00E114BB"/>
    <w:rsid w:val="00E141C2"/>
    <w:rsid w:val="00E14388"/>
    <w:rsid w:val="00E14405"/>
    <w:rsid w:val="00E1658B"/>
    <w:rsid w:val="00E204E4"/>
    <w:rsid w:val="00E20752"/>
    <w:rsid w:val="00E2691A"/>
    <w:rsid w:val="00E3063A"/>
    <w:rsid w:val="00E31B0F"/>
    <w:rsid w:val="00E33293"/>
    <w:rsid w:val="00E33358"/>
    <w:rsid w:val="00E336CD"/>
    <w:rsid w:val="00E35624"/>
    <w:rsid w:val="00E36779"/>
    <w:rsid w:val="00E37C0D"/>
    <w:rsid w:val="00E37E0F"/>
    <w:rsid w:val="00E41478"/>
    <w:rsid w:val="00E45396"/>
    <w:rsid w:val="00E45D5D"/>
    <w:rsid w:val="00E47921"/>
    <w:rsid w:val="00E53BE8"/>
    <w:rsid w:val="00E57278"/>
    <w:rsid w:val="00E6275D"/>
    <w:rsid w:val="00E65644"/>
    <w:rsid w:val="00E70A3B"/>
    <w:rsid w:val="00E71935"/>
    <w:rsid w:val="00E72739"/>
    <w:rsid w:val="00E727F6"/>
    <w:rsid w:val="00E735AE"/>
    <w:rsid w:val="00E75E1E"/>
    <w:rsid w:val="00E85C41"/>
    <w:rsid w:val="00E85D0F"/>
    <w:rsid w:val="00E879AB"/>
    <w:rsid w:val="00E90A29"/>
    <w:rsid w:val="00E90D94"/>
    <w:rsid w:val="00E91F6B"/>
    <w:rsid w:val="00E93A94"/>
    <w:rsid w:val="00E942A7"/>
    <w:rsid w:val="00E96BB4"/>
    <w:rsid w:val="00E970B3"/>
    <w:rsid w:val="00EA10EA"/>
    <w:rsid w:val="00EA1A7F"/>
    <w:rsid w:val="00EA227A"/>
    <w:rsid w:val="00EA28EC"/>
    <w:rsid w:val="00EA425B"/>
    <w:rsid w:val="00EA562E"/>
    <w:rsid w:val="00EA57D5"/>
    <w:rsid w:val="00EA5A11"/>
    <w:rsid w:val="00EA79D8"/>
    <w:rsid w:val="00EB1D7D"/>
    <w:rsid w:val="00EB2A69"/>
    <w:rsid w:val="00EB7617"/>
    <w:rsid w:val="00EC1AE9"/>
    <w:rsid w:val="00EC1B1D"/>
    <w:rsid w:val="00EC4A3B"/>
    <w:rsid w:val="00EC60AD"/>
    <w:rsid w:val="00EC769D"/>
    <w:rsid w:val="00ED3992"/>
    <w:rsid w:val="00ED41BF"/>
    <w:rsid w:val="00ED44B0"/>
    <w:rsid w:val="00EE052C"/>
    <w:rsid w:val="00EE3190"/>
    <w:rsid w:val="00EE4C25"/>
    <w:rsid w:val="00EE59B1"/>
    <w:rsid w:val="00EE79E6"/>
    <w:rsid w:val="00EF0034"/>
    <w:rsid w:val="00EF0354"/>
    <w:rsid w:val="00EF11E7"/>
    <w:rsid w:val="00EF1DFC"/>
    <w:rsid w:val="00EF217F"/>
    <w:rsid w:val="00F00DC6"/>
    <w:rsid w:val="00F10D59"/>
    <w:rsid w:val="00F11841"/>
    <w:rsid w:val="00F14A8C"/>
    <w:rsid w:val="00F21CCC"/>
    <w:rsid w:val="00F2387A"/>
    <w:rsid w:val="00F25546"/>
    <w:rsid w:val="00F314EE"/>
    <w:rsid w:val="00F400F0"/>
    <w:rsid w:val="00F43AA1"/>
    <w:rsid w:val="00F46FC0"/>
    <w:rsid w:val="00F470B8"/>
    <w:rsid w:val="00F506DF"/>
    <w:rsid w:val="00F50ADA"/>
    <w:rsid w:val="00F52634"/>
    <w:rsid w:val="00F5445F"/>
    <w:rsid w:val="00F546F4"/>
    <w:rsid w:val="00F5713A"/>
    <w:rsid w:val="00F578C6"/>
    <w:rsid w:val="00F6010F"/>
    <w:rsid w:val="00F62565"/>
    <w:rsid w:val="00F64616"/>
    <w:rsid w:val="00F6699F"/>
    <w:rsid w:val="00F66D06"/>
    <w:rsid w:val="00F703BD"/>
    <w:rsid w:val="00F75351"/>
    <w:rsid w:val="00F7604C"/>
    <w:rsid w:val="00F87871"/>
    <w:rsid w:val="00F90F4F"/>
    <w:rsid w:val="00F913C6"/>
    <w:rsid w:val="00F914D8"/>
    <w:rsid w:val="00F920D6"/>
    <w:rsid w:val="00F933B6"/>
    <w:rsid w:val="00F93EFB"/>
    <w:rsid w:val="00F94318"/>
    <w:rsid w:val="00F954A9"/>
    <w:rsid w:val="00F97038"/>
    <w:rsid w:val="00FA0816"/>
    <w:rsid w:val="00FA296B"/>
    <w:rsid w:val="00FA39B4"/>
    <w:rsid w:val="00FA41AD"/>
    <w:rsid w:val="00FA7701"/>
    <w:rsid w:val="00FB0298"/>
    <w:rsid w:val="00FB198B"/>
    <w:rsid w:val="00FB3DEF"/>
    <w:rsid w:val="00FC09C0"/>
    <w:rsid w:val="00FC1BB9"/>
    <w:rsid w:val="00FC201B"/>
    <w:rsid w:val="00FC2144"/>
    <w:rsid w:val="00FC3704"/>
    <w:rsid w:val="00FC3B4A"/>
    <w:rsid w:val="00FC5928"/>
    <w:rsid w:val="00FC64BB"/>
    <w:rsid w:val="00FC748A"/>
    <w:rsid w:val="00FD01CB"/>
    <w:rsid w:val="00FD37CC"/>
    <w:rsid w:val="00FD39EB"/>
    <w:rsid w:val="00FD4349"/>
    <w:rsid w:val="00FD603A"/>
    <w:rsid w:val="00FD6584"/>
    <w:rsid w:val="00FE1752"/>
    <w:rsid w:val="00FE2365"/>
    <w:rsid w:val="00FE28D5"/>
    <w:rsid w:val="00FE4F12"/>
    <w:rsid w:val="00FE679D"/>
    <w:rsid w:val="00FE747D"/>
    <w:rsid w:val="00FE78B8"/>
    <w:rsid w:val="00FE7B0C"/>
    <w:rsid w:val="00FF158D"/>
    <w:rsid w:val="00FF6C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C9377E"/>
  <w15:chartTrackingRefBased/>
  <w15:docId w15:val="{4346EC87-A1CA-42AD-BAAF-70C55168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A025C"/>
    <w:rPr>
      <w:rFonts w:ascii="Arial" w:hAnsi="Arial"/>
      <w:sz w:val="24"/>
    </w:rPr>
  </w:style>
  <w:style w:type="paragraph" w:styleId="Heading1">
    <w:name w:val="heading 1"/>
    <w:basedOn w:val="Normal"/>
    <w:next w:val="Normal"/>
    <w:link w:val="Heading1Char"/>
    <w:qFormat/>
    <w:rsid w:val="00A57DF9"/>
    <w:pPr>
      <w:tabs>
        <w:tab w:val="left" w:pos="2520"/>
      </w:tabs>
      <w:spacing w:before="120" w:after="120"/>
      <w:outlineLvl w:val="0"/>
    </w:pPr>
    <w:rPr>
      <w:rFonts w:cs="Arial"/>
      <w:b/>
      <w:szCs w:val="24"/>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uiPriority w:val="99"/>
    <w:rsid w:val="00352DFA"/>
    <w:pPr>
      <w:spacing w:before="100" w:beforeAutospacing="1" w:after="100" w:afterAutospacing="1"/>
    </w:pPr>
    <w:rPr>
      <w:rFonts w:ascii="Times New Roman" w:hAnsi="Times New Roman"/>
      <w:color w:val="6D7276"/>
      <w:sz w:val="10"/>
      <w:szCs w:val="10"/>
      <w:lang w:val="en-US" w:eastAsia="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uiPriority w:val="34"/>
    <w:qFormat/>
    <w:rsid w:val="000A096E"/>
    <w:pPr>
      <w:ind w:left="720"/>
    </w:pPr>
    <w:rPr>
      <w:rFonts w:ascii="Calibri" w:eastAsia="Calibri" w:hAnsi="Calibri"/>
      <w:sz w:val="22"/>
      <w:szCs w:val="22"/>
      <w:lang w:eastAsia="en-US"/>
    </w:rPr>
  </w:style>
  <w:style w:type="character" w:customStyle="1" w:styleId="HeaderChar">
    <w:name w:val="Header Char"/>
    <w:link w:val="Header"/>
    <w:uiPriority w:val="99"/>
    <w:rsid w:val="00571FD6"/>
    <w:rPr>
      <w:rFonts w:ascii="Arial" w:hAnsi="Arial"/>
      <w:sz w:val="24"/>
    </w:rPr>
  </w:style>
  <w:style w:type="character" w:customStyle="1" w:styleId="Heading1Char">
    <w:name w:val="Heading 1 Char"/>
    <w:link w:val="Heading1"/>
    <w:rsid w:val="00A57DF9"/>
    <w:rPr>
      <w:rFonts w:ascii="Arial" w:hAnsi="Arial" w:cs="Arial"/>
      <w:b/>
      <w:sz w:val="24"/>
      <w:szCs w:val="24"/>
    </w:rPr>
  </w:style>
  <w:style w:type="character" w:styleId="Hyperlink">
    <w:name w:val="Hyperlink"/>
    <w:basedOn w:val="DefaultParagraphFont"/>
    <w:rsid w:val="004B4ED6"/>
    <w:rPr>
      <w:color w:val="0563C1" w:themeColor="hyperlink"/>
      <w:u w:val="single"/>
    </w:rPr>
  </w:style>
  <w:style w:type="character" w:styleId="UnresolvedMention">
    <w:name w:val="Unresolved Mention"/>
    <w:basedOn w:val="DefaultParagraphFont"/>
    <w:uiPriority w:val="99"/>
    <w:semiHidden/>
    <w:unhideWhenUsed/>
    <w:rsid w:val="004B4ED6"/>
    <w:rPr>
      <w:color w:val="808080"/>
      <w:shd w:val="clear" w:color="auto" w:fill="E6E6E6"/>
    </w:rPr>
  </w:style>
  <w:style w:type="paragraph" w:styleId="Caption">
    <w:name w:val="caption"/>
    <w:basedOn w:val="Normal"/>
    <w:next w:val="Normal"/>
    <w:unhideWhenUsed/>
    <w:qFormat/>
    <w:rsid w:val="00510F2D"/>
    <w:pPr>
      <w:spacing w:after="200"/>
    </w:pPr>
    <w:rPr>
      <w:i/>
      <w:iCs/>
      <w:color w:val="44546A" w:themeColor="text2"/>
      <w:sz w:val="18"/>
      <w:szCs w:val="18"/>
    </w:rPr>
  </w:style>
  <w:style w:type="paragraph" w:customStyle="1" w:styleId="Default">
    <w:name w:val="Default"/>
    <w:rsid w:val="00416681"/>
    <w:pPr>
      <w:autoSpaceDE w:val="0"/>
      <w:autoSpaceDN w:val="0"/>
      <w:adjustRightInd w:val="0"/>
    </w:pPr>
    <w:rPr>
      <w:rFonts w:ascii="Calibri" w:hAnsi="Calibri" w:cs="Calibri"/>
      <w:color w:val="000000"/>
      <w:sz w:val="24"/>
      <w:szCs w:val="24"/>
    </w:rPr>
  </w:style>
  <w:style w:type="table" w:styleId="TableGrid">
    <w:name w:val="Table Grid"/>
    <w:basedOn w:val="TableNormal"/>
    <w:rsid w:val="00835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06C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97946">
      <w:bodyDiv w:val="1"/>
      <w:marLeft w:val="0"/>
      <w:marRight w:val="0"/>
      <w:marTop w:val="0"/>
      <w:marBottom w:val="0"/>
      <w:divBdr>
        <w:top w:val="none" w:sz="0" w:space="0" w:color="auto"/>
        <w:left w:val="none" w:sz="0" w:space="0" w:color="auto"/>
        <w:bottom w:val="none" w:sz="0" w:space="0" w:color="auto"/>
        <w:right w:val="none" w:sz="0" w:space="0" w:color="auto"/>
      </w:divBdr>
    </w:div>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69399286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915554200">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 w:id="180357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98E7C501FF494897B4C7811A197142" ma:contentTypeVersion="12" ma:contentTypeDescription="Create a new document." ma:contentTypeScope="" ma:versionID="26e17fb1ab77c66169e43f9932c217e5">
  <xsd:schema xmlns:xsd="http://www.w3.org/2001/XMLSchema" xmlns:xs="http://www.w3.org/2001/XMLSchema" xmlns:p="http://schemas.microsoft.com/office/2006/metadata/properties" xmlns:ns3="a7cd9408-e874-4b9f-ad09-48552c6bc24a" xmlns:ns4="1a461c37-b668-49bf-a220-002fcdef1a05" targetNamespace="http://schemas.microsoft.com/office/2006/metadata/properties" ma:root="true" ma:fieldsID="9dc8359daaaaec15fe4b6b9c84d34ea0" ns3:_="" ns4:_="">
    <xsd:import namespace="a7cd9408-e874-4b9f-ad09-48552c6bc24a"/>
    <xsd:import namespace="1a461c37-b668-49bf-a220-002fcdef1a0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d9408-e874-4b9f-ad09-48552c6bc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461c37-b668-49bf-a220-002fcdef1a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CF83A-00EA-4545-BFC5-6CEF0D6D820B}">
  <ds:schemaRefs>
    <ds:schemaRef ds:uri="http://purl.org/dc/dcmitype/"/>
    <ds:schemaRef ds:uri="a7cd9408-e874-4b9f-ad09-48552c6bc24a"/>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1a461c37-b668-49bf-a220-002fcdef1a05"/>
    <ds:schemaRef ds:uri="http://www.w3.org/XML/1998/namespace"/>
  </ds:schemaRefs>
</ds:datastoreItem>
</file>

<file path=customXml/itemProps2.xml><?xml version="1.0" encoding="utf-8"?>
<ds:datastoreItem xmlns:ds="http://schemas.openxmlformats.org/officeDocument/2006/customXml" ds:itemID="{20E58335-69AB-4A04-A80F-2D48957A7906}">
  <ds:schemaRefs>
    <ds:schemaRef ds:uri="http://schemas.microsoft.com/sharepoint/v3/contenttype/forms"/>
  </ds:schemaRefs>
</ds:datastoreItem>
</file>

<file path=customXml/itemProps3.xml><?xml version="1.0" encoding="utf-8"?>
<ds:datastoreItem xmlns:ds="http://schemas.openxmlformats.org/officeDocument/2006/customXml" ds:itemID="{6C6EA640-1654-4125-ADA0-D811F3B52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d9408-e874-4b9f-ad09-48552c6bc24a"/>
    <ds:schemaRef ds:uri="1a461c37-b668-49bf-a220-002fcdef1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EE802A-B8D4-4BEA-85D5-3099F3FE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116C9753.dotm</Template>
  <TotalTime>1</TotalTime>
  <Pages>12</Pages>
  <Words>4383</Words>
  <Characters>23833</Characters>
  <Application>Microsoft Office Word</Application>
  <DocSecurity>4</DocSecurity>
  <Lines>198</Lines>
  <Paragraphs>56</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28160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Meredith McIntyre</cp:lastModifiedBy>
  <cp:revision>2</cp:revision>
  <cp:lastPrinted>2019-07-02T22:48:00Z</cp:lastPrinted>
  <dcterms:created xsi:type="dcterms:W3CDTF">2020-10-12T03:26:00Z</dcterms:created>
  <dcterms:modified xsi:type="dcterms:W3CDTF">2020-10-12T03:26:00Z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A3960748</vt:lpwstr>
  </property>
  <property fmtid="{D5CDD505-2E9C-101B-9397-08002B2CF9AE}" pid="3" name="Objective-Title">
    <vt:lpwstr>Gateway Determination Report_V1</vt:lpwstr>
  </property>
  <property fmtid="{D5CDD505-2E9C-101B-9397-08002B2CF9AE}" pid="4" name="Objective-Comment">
    <vt:lpwstr/>
  </property>
  <property fmtid="{D5CDD505-2E9C-101B-9397-08002B2CF9AE}" pid="5" name="Objective-CreationStamp">
    <vt:filetime>2017-10-05T01:34:42Z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2017-10-19T03:45:19Z</vt:filetime>
  </property>
  <property fmtid="{D5CDD505-2E9C-101B-9397-08002B2CF9AE}" pid="10" name="Objective-Owner">
    <vt:lpwstr>Alicia Hall</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Templates:Gateway determination - planning proposal</vt:lpwstr>
  </property>
  <property fmtid="{D5CDD505-2E9C-101B-9397-08002B2CF9AE}" pid="12" name="Objective-Parent">
    <vt:lpwstr>Gateway determination - planning proposal proceed - GSC's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y fmtid="{D5CDD505-2E9C-101B-9397-08002B2CF9AE}" pid="23" name="ContentTypeId">
    <vt:lpwstr>0x010100E798E7C501FF494897B4C7811A197142</vt:lpwstr>
  </property>
</Properties>
</file>